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A9" w:rsidRDefault="003636A9" w:rsidP="003636A9">
      <w:pPr>
        <w:rPr>
          <w:rFonts w:ascii="Arial" w:hAnsi="Arial"/>
          <w:sz w:val="22"/>
          <w:szCs w:val="22"/>
          <w:lang w:eastAsia="ar-SA"/>
        </w:rPr>
      </w:pPr>
      <w:r>
        <w:rPr>
          <w:rFonts w:ascii="Arial" w:hAnsi="Arial"/>
          <w:b/>
          <w:bCs/>
          <w:color w:val="000000"/>
          <w:sz w:val="21"/>
          <w:szCs w:val="21"/>
          <w:lang w:eastAsia="ar-SA"/>
        </w:rPr>
        <w:t xml:space="preserve">RRBOś.6840.1.2018   </w:t>
      </w:r>
      <w:r>
        <w:rPr>
          <w:rFonts w:ascii="Arial" w:hAnsi="Arial"/>
          <w:b/>
          <w:bCs/>
          <w:color w:val="000000"/>
          <w:sz w:val="20"/>
          <w:lang w:eastAsia="ar-SA"/>
        </w:rPr>
        <w:t xml:space="preserve">   </w:t>
      </w:r>
      <w:r>
        <w:rPr>
          <w:rFonts w:ascii="Arial" w:hAnsi="Arial"/>
          <w:b/>
          <w:color w:val="000000"/>
          <w:sz w:val="21"/>
          <w:szCs w:val="21"/>
          <w:lang w:eastAsia="ar-SA"/>
        </w:rPr>
        <w:t xml:space="preserve">                          </w:t>
      </w:r>
      <w:r w:rsidR="00A80A33">
        <w:rPr>
          <w:rFonts w:ascii="Arial" w:hAnsi="Arial"/>
          <w:sz w:val="22"/>
          <w:szCs w:val="22"/>
          <w:lang w:eastAsia="ar-SA"/>
        </w:rPr>
        <w:t xml:space="preserve">             </w:t>
      </w:r>
      <w:bookmarkStart w:id="0" w:name="_GoBack"/>
      <w:bookmarkEnd w:id="0"/>
      <w:r>
        <w:rPr>
          <w:rFonts w:ascii="Arial" w:hAnsi="Arial"/>
          <w:sz w:val="22"/>
          <w:szCs w:val="22"/>
          <w:lang w:eastAsia="ar-SA"/>
        </w:rPr>
        <w:t xml:space="preserve">         Załącznik do Zarządzenia Nr </w:t>
      </w:r>
      <w:r>
        <w:rPr>
          <w:rFonts w:ascii="Arial" w:hAnsi="Arial"/>
          <w:color w:val="000000"/>
          <w:sz w:val="22"/>
          <w:szCs w:val="22"/>
          <w:lang w:eastAsia="ar-SA"/>
        </w:rPr>
        <w:t xml:space="preserve"> </w:t>
      </w:r>
      <w:r w:rsidR="00A80A33" w:rsidRPr="00A80A33">
        <w:rPr>
          <w:rFonts w:ascii="Arial" w:hAnsi="Arial"/>
          <w:b/>
          <w:color w:val="000000"/>
          <w:sz w:val="22"/>
          <w:szCs w:val="22"/>
          <w:lang w:eastAsia="ar-SA"/>
        </w:rPr>
        <w:t>49</w:t>
      </w:r>
      <w:r w:rsidRPr="00A80A33">
        <w:rPr>
          <w:rFonts w:ascii="Arial" w:hAnsi="Arial"/>
          <w:b/>
          <w:bCs/>
          <w:color w:val="000000"/>
          <w:sz w:val="22"/>
          <w:szCs w:val="22"/>
          <w:lang w:eastAsia="ar-SA"/>
        </w:rPr>
        <w:t>/</w:t>
      </w:r>
      <w:r>
        <w:rPr>
          <w:rFonts w:ascii="Arial" w:hAnsi="Arial"/>
          <w:b/>
          <w:bCs/>
          <w:color w:val="000000"/>
          <w:sz w:val="22"/>
          <w:szCs w:val="22"/>
          <w:lang w:eastAsia="ar-SA"/>
        </w:rPr>
        <w:t>2018</w:t>
      </w:r>
      <w:r>
        <w:rPr>
          <w:rFonts w:ascii="Arial" w:hAnsi="Arial"/>
          <w:color w:val="000000"/>
          <w:sz w:val="22"/>
          <w:szCs w:val="22"/>
          <w:lang w:eastAsia="ar-SA"/>
        </w:rPr>
        <w:t xml:space="preserve"> </w:t>
      </w:r>
      <w:r w:rsidR="009E7072">
        <w:rPr>
          <w:rFonts w:ascii="Arial" w:hAnsi="Arial"/>
          <w:sz w:val="22"/>
          <w:szCs w:val="22"/>
          <w:lang w:eastAsia="ar-SA"/>
        </w:rPr>
        <w:t xml:space="preserve">Wójta Gminy Wilczęta z dnia </w:t>
      </w:r>
      <w:r>
        <w:rPr>
          <w:rFonts w:ascii="Arial" w:hAnsi="Arial"/>
          <w:b/>
          <w:sz w:val="22"/>
          <w:szCs w:val="22"/>
          <w:lang w:eastAsia="ar-SA"/>
        </w:rPr>
        <w:t>14 sierpnia</w:t>
      </w:r>
      <w:r>
        <w:rPr>
          <w:rFonts w:ascii="Arial" w:hAnsi="Arial"/>
          <w:sz w:val="22"/>
          <w:szCs w:val="22"/>
          <w:lang w:eastAsia="ar-SA"/>
        </w:rPr>
        <w:t xml:space="preserve"> </w:t>
      </w:r>
      <w:r>
        <w:rPr>
          <w:rFonts w:ascii="Arial" w:hAnsi="Arial"/>
          <w:b/>
          <w:bCs/>
          <w:sz w:val="22"/>
          <w:szCs w:val="22"/>
          <w:lang w:eastAsia="ar-SA"/>
        </w:rPr>
        <w:t xml:space="preserve">2018 </w:t>
      </w:r>
      <w:r>
        <w:rPr>
          <w:rFonts w:ascii="Arial" w:hAnsi="Arial"/>
          <w:sz w:val="22"/>
          <w:szCs w:val="22"/>
          <w:lang w:eastAsia="ar-SA"/>
        </w:rPr>
        <w:t>roku</w:t>
      </w:r>
    </w:p>
    <w:p w:rsidR="003636A9" w:rsidRDefault="003636A9" w:rsidP="003636A9">
      <w:pPr>
        <w:rPr>
          <w:rFonts w:ascii="Arial" w:hAnsi="Arial"/>
          <w:b/>
          <w:sz w:val="21"/>
          <w:szCs w:val="21"/>
          <w:lang w:eastAsia="ar-SA"/>
        </w:rPr>
      </w:pPr>
    </w:p>
    <w:p w:rsidR="003636A9" w:rsidRPr="004824B7" w:rsidRDefault="003636A9" w:rsidP="004824B7">
      <w:pPr>
        <w:jc w:val="center"/>
        <w:rPr>
          <w:rFonts w:ascii="Arial" w:hAnsi="Arial"/>
          <w:b/>
          <w:sz w:val="21"/>
          <w:szCs w:val="21"/>
          <w:lang w:eastAsia="ar-SA"/>
        </w:rPr>
      </w:pPr>
      <w:r>
        <w:rPr>
          <w:rFonts w:ascii="Arial" w:hAnsi="Arial"/>
          <w:b/>
          <w:sz w:val="21"/>
          <w:szCs w:val="21"/>
          <w:lang w:eastAsia="ar-SA"/>
        </w:rPr>
        <w:t xml:space="preserve">OGŁOSZENIE O PRZEZNACZENIU DO SPRZEDAŻY NIERUCHOMOŚCI NIEZABUDOWANYCH  STANOWIĄCYCH WŁASNOŚĆ GMINY WILCZĘTA W DRODZE I PUBLICZNEGO PRZETARGU USTNEGO NIEOGRANICZONEGO  </w:t>
      </w:r>
      <w:r>
        <w:rPr>
          <w:szCs w:val="24"/>
          <w:lang w:eastAsia="ar-SA"/>
        </w:rPr>
        <w:t xml:space="preserve"> </w:t>
      </w:r>
    </w:p>
    <w:p w:rsidR="003636A9" w:rsidRDefault="003636A9" w:rsidP="003636A9">
      <w:pPr>
        <w:jc w:val="center"/>
        <w:rPr>
          <w:szCs w:val="24"/>
          <w:lang w:eastAsia="ar-SA"/>
        </w:rPr>
      </w:pPr>
    </w:p>
    <w:p w:rsidR="003636A9" w:rsidRDefault="003636A9" w:rsidP="003636A9">
      <w:pPr>
        <w:jc w:val="both"/>
        <w:rPr>
          <w:rFonts w:ascii="Arial" w:hAnsi="Arial"/>
          <w:sz w:val="20"/>
          <w:lang w:eastAsia="ar-SA"/>
        </w:rPr>
      </w:pPr>
      <w:r>
        <w:rPr>
          <w:rFonts w:ascii="Arial" w:hAnsi="Arial"/>
          <w:b/>
          <w:szCs w:val="24"/>
          <w:lang w:eastAsia="ar-SA"/>
        </w:rPr>
        <w:t xml:space="preserve">Przedmiotem sprzedaży są nieruchomości w Gminie Wilczęta, powiat braniewski, województwo warmińsko-mazurskie. </w:t>
      </w:r>
      <w:r>
        <w:rPr>
          <w:szCs w:val="24"/>
          <w:lang w:eastAsia="ar-SA"/>
        </w:rPr>
        <w:t xml:space="preserve"> </w:t>
      </w:r>
      <w:r>
        <w:rPr>
          <w:rFonts w:ascii="Arial" w:hAnsi="Arial"/>
          <w:sz w:val="20"/>
          <w:lang w:eastAsia="ar-SA"/>
        </w:rPr>
        <w:t xml:space="preserve"> </w:t>
      </w:r>
    </w:p>
    <w:p w:rsidR="003636A9" w:rsidRDefault="003636A9" w:rsidP="003636A9"/>
    <w:tbl>
      <w:tblPr>
        <w:tblW w:w="14055" w:type="dxa"/>
        <w:tblInd w:w="-30" w:type="dxa"/>
        <w:tblLayout w:type="fixed"/>
        <w:tblLook w:val="04A0" w:firstRow="1" w:lastRow="0" w:firstColumn="1" w:lastColumn="0" w:noHBand="0" w:noVBand="1"/>
      </w:tblPr>
      <w:tblGrid>
        <w:gridCol w:w="765"/>
        <w:gridCol w:w="851"/>
        <w:gridCol w:w="819"/>
        <w:gridCol w:w="1701"/>
        <w:gridCol w:w="1307"/>
        <w:gridCol w:w="4363"/>
        <w:gridCol w:w="1276"/>
        <w:gridCol w:w="1165"/>
        <w:gridCol w:w="850"/>
        <w:gridCol w:w="958"/>
      </w:tblGrid>
      <w:tr w:rsidR="003636A9" w:rsidTr="003636A9">
        <w:trPr>
          <w:trHeight w:val="525"/>
        </w:trPr>
        <w:tc>
          <w:tcPr>
            <w:tcW w:w="765" w:type="dxa"/>
            <w:tcBorders>
              <w:top w:val="single" w:sz="4" w:space="0" w:color="000000"/>
              <w:left w:val="single" w:sz="4" w:space="0" w:color="000000"/>
              <w:bottom w:val="single" w:sz="4" w:space="0" w:color="000000"/>
              <w:right w:val="nil"/>
            </w:tcBorders>
            <w:hideMark/>
          </w:tcPr>
          <w:p w:rsidR="003636A9" w:rsidRDefault="003636A9">
            <w:pPr>
              <w:snapToGrid w:val="0"/>
              <w:rPr>
                <w:rFonts w:ascii="Arial" w:hAnsi="Arial"/>
                <w:sz w:val="14"/>
                <w:szCs w:val="14"/>
                <w:lang w:eastAsia="ar-SA"/>
              </w:rPr>
            </w:pPr>
            <w:r>
              <w:rPr>
                <w:rFonts w:ascii="Arial" w:hAnsi="Arial"/>
                <w:sz w:val="14"/>
                <w:szCs w:val="14"/>
                <w:lang w:eastAsia="ar-SA"/>
              </w:rPr>
              <w:t xml:space="preserve">Nr </w:t>
            </w:r>
          </w:p>
          <w:p w:rsidR="003636A9" w:rsidRDefault="003636A9">
            <w:pPr>
              <w:snapToGrid w:val="0"/>
              <w:rPr>
                <w:rFonts w:ascii="Arial" w:hAnsi="Arial"/>
                <w:sz w:val="14"/>
                <w:szCs w:val="14"/>
                <w:lang w:eastAsia="ar-SA"/>
              </w:rPr>
            </w:pPr>
            <w:proofErr w:type="spellStart"/>
            <w:r>
              <w:rPr>
                <w:rFonts w:ascii="Arial" w:hAnsi="Arial"/>
                <w:sz w:val="14"/>
                <w:szCs w:val="14"/>
                <w:lang w:eastAsia="ar-SA"/>
              </w:rPr>
              <w:t>ewiden-cyjny</w:t>
            </w:r>
            <w:proofErr w:type="spellEnd"/>
          </w:p>
          <w:p w:rsidR="003636A9" w:rsidRDefault="003636A9">
            <w:pPr>
              <w:snapToGrid w:val="0"/>
              <w:rPr>
                <w:rFonts w:ascii="Arial" w:hAnsi="Arial"/>
                <w:sz w:val="14"/>
                <w:szCs w:val="14"/>
                <w:lang w:eastAsia="ar-SA"/>
              </w:rPr>
            </w:pPr>
            <w:proofErr w:type="spellStart"/>
            <w:r>
              <w:rPr>
                <w:rFonts w:ascii="Arial" w:hAnsi="Arial"/>
                <w:sz w:val="14"/>
                <w:szCs w:val="14"/>
                <w:lang w:eastAsia="ar-SA"/>
              </w:rPr>
              <w:t>nierucho</w:t>
            </w:r>
            <w:proofErr w:type="spellEnd"/>
            <w:r>
              <w:rPr>
                <w:rFonts w:ascii="Arial" w:hAnsi="Arial"/>
                <w:sz w:val="14"/>
                <w:szCs w:val="14"/>
                <w:lang w:eastAsia="ar-SA"/>
              </w:rPr>
              <w:t>-mości</w:t>
            </w:r>
          </w:p>
        </w:tc>
        <w:tc>
          <w:tcPr>
            <w:tcW w:w="851" w:type="dxa"/>
            <w:tcBorders>
              <w:top w:val="single" w:sz="4" w:space="0" w:color="000000"/>
              <w:left w:val="single" w:sz="4" w:space="0" w:color="000000"/>
              <w:bottom w:val="single" w:sz="4" w:space="0" w:color="000000"/>
              <w:right w:val="nil"/>
            </w:tcBorders>
            <w:hideMark/>
          </w:tcPr>
          <w:p w:rsidR="003636A9" w:rsidRDefault="003636A9">
            <w:pPr>
              <w:snapToGrid w:val="0"/>
              <w:rPr>
                <w:rFonts w:ascii="Arial" w:hAnsi="Arial"/>
                <w:sz w:val="14"/>
                <w:szCs w:val="14"/>
                <w:lang w:eastAsia="ar-SA"/>
              </w:rPr>
            </w:pPr>
            <w:r>
              <w:rPr>
                <w:rFonts w:ascii="Arial" w:hAnsi="Arial"/>
                <w:sz w:val="14"/>
                <w:szCs w:val="14"/>
                <w:lang w:eastAsia="ar-SA"/>
              </w:rPr>
              <w:t>Powierz-</w:t>
            </w:r>
            <w:proofErr w:type="spellStart"/>
            <w:r>
              <w:rPr>
                <w:rFonts w:ascii="Arial" w:hAnsi="Arial"/>
                <w:sz w:val="14"/>
                <w:szCs w:val="14"/>
                <w:lang w:eastAsia="ar-SA"/>
              </w:rPr>
              <w:t>chnia</w:t>
            </w:r>
            <w:proofErr w:type="spellEnd"/>
            <w:r>
              <w:rPr>
                <w:rFonts w:ascii="Arial" w:hAnsi="Arial"/>
                <w:sz w:val="14"/>
                <w:szCs w:val="14"/>
                <w:lang w:eastAsia="ar-SA"/>
              </w:rPr>
              <w:t xml:space="preserve"> </w:t>
            </w:r>
          </w:p>
          <w:p w:rsidR="003636A9" w:rsidRDefault="003636A9">
            <w:pPr>
              <w:rPr>
                <w:rFonts w:ascii="Arial" w:hAnsi="Arial"/>
                <w:sz w:val="14"/>
                <w:szCs w:val="14"/>
                <w:lang w:eastAsia="ar-SA"/>
              </w:rPr>
            </w:pPr>
            <w:r>
              <w:rPr>
                <w:rFonts w:ascii="Arial" w:hAnsi="Arial"/>
                <w:sz w:val="14"/>
                <w:szCs w:val="14"/>
                <w:lang w:eastAsia="ar-SA"/>
              </w:rPr>
              <w:t>w  m2</w:t>
            </w:r>
          </w:p>
        </w:tc>
        <w:tc>
          <w:tcPr>
            <w:tcW w:w="819" w:type="dxa"/>
            <w:tcBorders>
              <w:top w:val="single" w:sz="4" w:space="0" w:color="000000"/>
              <w:left w:val="single" w:sz="4" w:space="0" w:color="000000"/>
              <w:bottom w:val="single" w:sz="4" w:space="0" w:color="000000"/>
              <w:right w:val="nil"/>
            </w:tcBorders>
            <w:hideMark/>
          </w:tcPr>
          <w:p w:rsidR="003636A9" w:rsidRDefault="003636A9">
            <w:pPr>
              <w:snapToGrid w:val="0"/>
              <w:rPr>
                <w:rFonts w:ascii="Arial" w:hAnsi="Arial"/>
                <w:sz w:val="16"/>
                <w:szCs w:val="16"/>
                <w:lang w:eastAsia="ar-SA"/>
              </w:rPr>
            </w:pPr>
            <w:r>
              <w:rPr>
                <w:rFonts w:ascii="Arial" w:hAnsi="Arial"/>
                <w:sz w:val="16"/>
                <w:szCs w:val="16"/>
                <w:lang w:eastAsia="ar-SA"/>
              </w:rPr>
              <w:t>Rodzaj użytków</w:t>
            </w:r>
          </w:p>
          <w:p w:rsidR="003636A9" w:rsidRDefault="003636A9">
            <w:pPr>
              <w:snapToGrid w:val="0"/>
              <w:rPr>
                <w:rFonts w:ascii="Arial" w:hAnsi="Arial"/>
                <w:sz w:val="16"/>
                <w:szCs w:val="16"/>
                <w:lang w:eastAsia="ar-SA"/>
              </w:rPr>
            </w:pPr>
            <w:r>
              <w:rPr>
                <w:rFonts w:ascii="Arial" w:hAnsi="Arial"/>
                <w:sz w:val="16"/>
                <w:szCs w:val="16"/>
                <w:lang w:eastAsia="ar-SA"/>
              </w:rPr>
              <w:t>w  m2</w:t>
            </w:r>
          </w:p>
        </w:tc>
        <w:tc>
          <w:tcPr>
            <w:tcW w:w="1701" w:type="dxa"/>
            <w:tcBorders>
              <w:top w:val="single" w:sz="4" w:space="0" w:color="000000"/>
              <w:left w:val="single" w:sz="4" w:space="0" w:color="000000"/>
              <w:bottom w:val="single" w:sz="4" w:space="0" w:color="000000"/>
              <w:right w:val="nil"/>
            </w:tcBorders>
            <w:hideMark/>
          </w:tcPr>
          <w:p w:rsidR="003636A9" w:rsidRDefault="003636A9">
            <w:pPr>
              <w:snapToGrid w:val="0"/>
              <w:rPr>
                <w:rFonts w:ascii="Arial" w:hAnsi="Arial"/>
                <w:sz w:val="18"/>
                <w:szCs w:val="18"/>
                <w:lang w:eastAsia="ar-SA"/>
              </w:rPr>
            </w:pPr>
            <w:r>
              <w:rPr>
                <w:rFonts w:ascii="Arial" w:hAnsi="Arial"/>
                <w:sz w:val="18"/>
                <w:szCs w:val="18"/>
                <w:lang w:eastAsia="ar-SA"/>
              </w:rPr>
              <w:t>Numer Księgi Wieczystej</w:t>
            </w:r>
          </w:p>
        </w:tc>
        <w:tc>
          <w:tcPr>
            <w:tcW w:w="1307" w:type="dxa"/>
            <w:tcBorders>
              <w:top w:val="single" w:sz="4" w:space="0" w:color="000000"/>
              <w:left w:val="single" w:sz="4" w:space="0" w:color="000000"/>
              <w:bottom w:val="single" w:sz="4" w:space="0" w:color="000000"/>
              <w:right w:val="nil"/>
            </w:tcBorders>
            <w:hideMark/>
          </w:tcPr>
          <w:p w:rsidR="003636A9" w:rsidRDefault="003636A9">
            <w:pPr>
              <w:snapToGrid w:val="0"/>
              <w:rPr>
                <w:rFonts w:ascii="Arial" w:hAnsi="Arial"/>
                <w:sz w:val="18"/>
                <w:szCs w:val="18"/>
                <w:lang w:eastAsia="ar-SA"/>
              </w:rPr>
            </w:pPr>
            <w:r>
              <w:rPr>
                <w:rFonts w:ascii="Arial" w:hAnsi="Arial"/>
                <w:sz w:val="18"/>
                <w:szCs w:val="18"/>
                <w:lang w:eastAsia="ar-SA"/>
              </w:rPr>
              <w:t>Położenie</w:t>
            </w:r>
          </w:p>
        </w:tc>
        <w:tc>
          <w:tcPr>
            <w:tcW w:w="4363" w:type="dxa"/>
            <w:tcBorders>
              <w:top w:val="single" w:sz="4" w:space="0" w:color="000000"/>
              <w:left w:val="single" w:sz="4" w:space="0" w:color="000000"/>
              <w:bottom w:val="single" w:sz="4" w:space="0" w:color="000000"/>
              <w:right w:val="nil"/>
            </w:tcBorders>
            <w:hideMark/>
          </w:tcPr>
          <w:p w:rsidR="003636A9" w:rsidRDefault="003636A9">
            <w:pPr>
              <w:snapToGrid w:val="0"/>
              <w:rPr>
                <w:rFonts w:ascii="Arial" w:hAnsi="Arial"/>
                <w:sz w:val="28"/>
                <w:szCs w:val="28"/>
                <w:lang w:eastAsia="ar-SA"/>
              </w:rPr>
            </w:pPr>
            <w:r>
              <w:rPr>
                <w:rFonts w:ascii="Arial" w:hAnsi="Arial"/>
                <w:sz w:val="16"/>
                <w:szCs w:val="16"/>
                <w:lang w:eastAsia="ar-SA"/>
              </w:rPr>
              <w:t xml:space="preserve">    </w:t>
            </w:r>
            <w:r>
              <w:rPr>
                <w:rFonts w:ascii="Arial" w:hAnsi="Arial"/>
                <w:sz w:val="28"/>
                <w:szCs w:val="28"/>
                <w:lang w:eastAsia="ar-SA"/>
              </w:rPr>
              <w:t xml:space="preserve">   Opis nieruchomości</w:t>
            </w:r>
          </w:p>
        </w:tc>
        <w:tc>
          <w:tcPr>
            <w:tcW w:w="1276" w:type="dxa"/>
            <w:tcBorders>
              <w:top w:val="single" w:sz="4" w:space="0" w:color="000000"/>
              <w:left w:val="single" w:sz="4" w:space="0" w:color="000000"/>
              <w:bottom w:val="single" w:sz="4" w:space="0" w:color="000000"/>
              <w:right w:val="nil"/>
            </w:tcBorders>
            <w:hideMark/>
          </w:tcPr>
          <w:p w:rsidR="003636A9" w:rsidRDefault="003636A9">
            <w:pPr>
              <w:snapToGrid w:val="0"/>
              <w:rPr>
                <w:rFonts w:ascii="Arial" w:hAnsi="Arial"/>
                <w:sz w:val="16"/>
                <w:szCs w:val="16"/>
                <w:lang w:eastAsia="ar-SA"/>
              </w:rPr>
            </w:pPr>
            <w:r>
              <w:rPr>
                <w:rFonts w:ascii="Arial" w:hAnsi="Arial"/>
                <w:sz w:val="16"/>
                <w:szCs w:val="16"/>
                <w:lang w:eastAsia="ar-SA"/>
              </w:rPr>
              <w:t>Sposób wykorzysta-</w:t>
            </w:r>
          </w:p>
          <w:p w:rsidR="003636A9" w:rsidRDefault="003636A9">
            <w:pPr>
              <w:snapToGrid w:val="0"/>
              <w:rPr>
                <w:rFonts w:ascii="Arial" w:hAnsi="Arial"/>
                <w:sz w:val="16"/>
                <w:szCs w:val="16"/>
                <w:lang w:eastAsia="ar-SA"/>
              </w:rPr>
            </w:pPr>
            <w:proofErr w:type="spellStart"/>
            <w:r>
              <w:rPr>
                <w:rFonts w:ascii="Arial" w:hAnsi="Arial"/>
                <w:sz w:val="16"/>
                <w:szCs w:val="16"/>
                <w:lang w:eastAsia="ar-SA"/>
              </w:rPr>
              <w:t>nia</w:t>
            </w:r>
            <w:proofErr w:type="spellEnd"/>
          </w:p>
          <w:p w:rsidR="003636A9" w:rsidRDefault="003636A9">
            <w:pPr>
              <w:rPr>
                <w:rFonts w:ascii="Arial" w:hAnsi="Arial"/>
                <w:sz w:val="18"/>
                <w:szCs w:val="18"/>
                <w:lang w:eastAsia="ar-SA"/>
              </w:rPr>
            </w:pPr>
            <w:r>
              <w:rPr>
                <w:rFonts w:ascii="Arial" w:hAnsi="Arial"/>
                <w:sz w:val="16"/>
                <w:szCs w:val="16"/>
                <w:lang w:eastAsia="ar-SA"/>
              </w:rPr>
              <w:t>nieruchomości</w:t>
            </w:r>
          </w:p>
        </w:tc>
        <w:tc>
          <w:tcPr>
            <w:tcW w:w="1165" w:type="dxa"/>
            <w:tcBorders>
              <w:top w:val="single" w:sz="4" w:space="0" w:color="000000"/>
              <w:left w:val="single" w:sz="4" w:space="0" w:color="000000"/>
              <w:bottom w:val="single" w:sz="4" w:space="0" w:color="000000"/>
              <w:right w:val="single" w:sz="4" w:space="0" w:color="auto"/>
            </w:tcBorders>
          </w:tcPr>
          <w:p w:rsidR="003636A9" w:rsidRDefault="003636A9">
            <w:pPr>
              <w:snapToGrid w:val="0"/>
              <w:rPr>
                <w:rFonts w:ascii="Arial" w:hAnsi="Arial"/>
                <w:sz w:val="16"/>
                <w:szCs w:val="16"/>
                <w:lang w:eastAsia="ar-SA"/>
              </w:rPr>
            </w:pPr>
            <w:r>
              <w:rPr>
                <w:rFonts w:ascii="Arial" w:hAnsi="Arial"/>
                <w:sz w:val="16"/>
                <w:szCs w:val="16"/>
                <w:lang w:eastAsia="ar-SA"/>
              </w:rPr>
              <w:t xml:space="preserve">Cena </w:t>
            </w:r>
          </w:p>
          <w:p w:rsidR="003636A9" w:rsidRDefault="003636A9">
            <w:pPr>
              <w:rPr>
                <w:rFonts w:ascii="Arial" w:hAnsi="Arial"/>
                <w:sz w:val="16"/>
                <w:szCs w:val="16"/>
                <w:lang w:eastAsia="ar-SA"/>
              </w:rPr>
            </w:pPr>
            <w:r>
              <w:rPr>
                <w:rFonts w:ascii="Arial" w:hAnsi="Arial"/>
                <w:sz w:val="16"/>
                <w:szCs w:val="16"/>
                <w:lang w:eastAsia="ar-SA"/>
              </w:rPr>
              <w:t>wywoławcza</w:t>
            </w:r>
          </w:p>
          <w:p w:rsidR="003636A9" w:rsidRDefault="003636A9">
            <w:pPr>
              <w:rPr>
                <w:rFonts w:ascii="Arial" w:hAnsi="Arial"/>
                <w:sz w:val="16"/>
                <w:szCs w:val="16"/>
                <w:lang w:eastAsia="ar-SA"/>
              </w:rPr>
            </w:pPr>
            <w:r>
              <w:rPr>
                <w:rFonts w:ascii="Arial" w:hAnsi="Arial"/>
                <w:sz w:val="16"/>
                <w:szCs w:val="16"/>
                <w:lang w:eastAsia="ar-SA"/>
              </w:rPr>
              <w:t xml:space="preserve">nieruchomości </w:t>
            </w:r>
          </w:p>
          <w:p w:rsidR="003636A9" w:rsidRDefault="003636A9">
            <w:pPr>
              <w:rPr>
                <w:rFonts w:ascii="Arial" w:hAnsi="Arial"/>
                <w:sz w:val="18"/>
                <w:szCs w:val="18"/>
                <w:lang w:eastAsia="ar-SA"/>
              </w:rPr>
            </w:pPr>
            <w:r>
              <w:rPr>
                <w:rFonts w:ascii="Arial" w:hAnsi="Arial"/>
                <w:sz w:val="18"/>
                <w:szCs w:val="18"/>
                <w:lang w:eastAsia="ar-SA"/>
              </w:rPr>
              <w:t xml:space="preserve"> w zł</w:t>
            </w:r>
          </w:p>
          <w:p w:rsidR="003636A9" w:rsidRDefault="003636A9">
            <w:pPr>
              <w:rPr>
                <w:rFonts w:ascii="Arial" w:hAnsi="Arial"/>
                <w:sz w:val="16"/>
                <w:szCs w:val="16"/>
                <w:lang w:eastAsia="ar-SA"/>
              </w:rPr>
            </w:pPr>
          </w:p>
        </w:tc>
        <w:tc>
          <w:tcPr>
            <w:tcW w:w="850" w:type="dxa"/>
            <w:tcBorders>
              <w:top w:val="single" w:sz="4" w:space="0" w:color="000000"/>
              <w:left w:val="single" w:sz="4" w:space="0" w:color="auto"/>
              <w:bottom w:val="single" w:sz="4" w:space="0" w:color="000000"/>
              <w:right w:val="nil"/>
            </w:tcBorders>
          </w:tcPr>
          <w:p w:rsidR="003636A9" w:rsidRDefault="003636A9">
            <w:pPr>
              <w:widowControl/>
              <w:suppressAutoHyphens w:val="0"/>
              <w:rPr>
                <w:rFonts w:ascii="Arial" w:hAnsi="Arial"/>
                <w:sz w:val="16"/>
                <w:szCs w:val="16"/>
                <w:lang w:eastAsia="ar-SA"/>
              </w:rPr>
            </w:pPr>
            <w:r>
              <w:rPr>
                <w:rFonts w:ascii="Arial" w:hAnsi="Arial"/>
                <w:sz w:val="16"/>
                <w:szCs w:val="16"/>
                <w:lang w:eastAsia="ar-SA"/>
              </w:rPr>
              <w:t>Wadium w zł</w:t>
            </w:r>
          </w:p>
          <w:p w:rsidR="003636A9" w:rsidRDefault="003636A9">
            <w:pPr>
              <w:widowControl/>
              <w:suppressAutoHyphens w:val="0"/>
              <w:rPr>
                <w:rFonts w:ascii="Arial" w:hAnsi="Arial"/>
                <w:sz w:val="16"/>
                <w:szCs w:val="16"/>
                <w:lang w:eastAsia="ar-SA"/>
              </w:rPr>
            </w:pPr>
          </w:p>
          <w:p w:rsidR="003636A9" w:rsidRDefault="003636A9">
            <w:pPr>
              <w:widowControl/>
              <w:suppressAutoHyphens w:val="0"/>
              <w:rPr>
                <w:rFonts w:ascii="Arial" w:hAnsi="Arial"/>
                <w:sz w:val="16"/>
                <w:szCs w:val="16"/>
                <w:lang w:eastAsia="ar-SA"/>
              </w:rPr>
            </w:pPr>
          </w:p>
          <w:p w:rsidR="003636A9" w:rsidRDefault="003636A9">
            <w:pPr>
              <w:widowControl/>
              <w:suppressAutoHyphens w:val="0"/>
              <w:rPr>
                <w:rFonts w:ascii="Arial" w:hAnsi="Arial"/>
                <w:sz w:val="16"/>
                <w:szCs w:val="16"/>
                <w:lang w:eastAsia="ar-SA"/>
              </w:rPr>
            </w:pPr>
          </w:p>
          <w:p w:rsidR="003636A9" w:rsidRDefault="003636A9">
            <w:pPr>
              <w:rPr>
                <w:rFonts w:ascii="Arial" w:hAnsi="Arial"/>
                <w:sz w:val="16"/>
                <w:szCs w:val="16"/>
                <w:lang w:eastAsia="ar-SA"/>
              </w:rPr>
            </w:pPr>
          </w:p>
        </w:tc>
        <w:tc>
          <w:tcPr>
            <w:tcW w:w="958" w:type="dxa"/>
            <w:tcBorders>
              <w:top w:val="single" w:sz="4" w:space="0" w:color="000000"/>
              <w:left w:val="single" w:sz="4" w:space="0" w:color="000000"/>
              <w:bottom w:val="single" w:sz="4" w:space="0" w:color="000000"/>
              <w:right w:val="single" w:sz="4" w:space="0" w:color="000000"/>
            </w:tcBorders>
            <w:hideMark/>
          </w:tcPr>
          <w:p w:rsidR="003636A9" w:rsidRDefault="003636A9">
            <w:pPr>
              <w:snapToGrid w:val="0"/>
              <w:jc w:val="center"/>
              <w:rPr>
                <w:rFonts w:ascii="Arial" w:hAnsi="Arial"/>
                <w:sz w:val="16"/>
                <w:szCs w:val="16"/>
                <w:lang w:eastAsia="ar-SA"/>
              </w:rPr>
            </w:pPr>
            <w:r>
              <w:rPr>
                <w:rFonts w:ascii="Arial" w:hAnsi="Arial"/>
                <w:sz w:val="16"/>
                <w:szCs w:val="16"/>
                <w:lang w:eastAsia="ar-SA"/>
              </w:rPr>
              <w:t xml:space="preserve">Minimalne postąpienie </w:t>
            </w:r>
          </w:p>
          <w:p w:rsidR="003636A9" w:rsidRDefault="003636A9">
            <w:pPr>
              <w:snapToGrid w:val="0"/>
              <w:jc w:val="center"/>
              <w:rPr>
                <w:rFonts w:ascii="Arial" w:hAnsi="Arial"/>
                <w:sz w:val="18"/>
                <w:szCs w:val="18"/>
                <w:lang w:eastAsia="ar-SA"/>
              </w:rPr>
            </w:pPr>
            <w:r>
              <w:rPr>
                <w:rFonts w:ascii="Arial" w:hAnsi="Arial"/>
                <w:sz w:val="16"/>
                <w:szCs w:val="16"/>
                <w:lang w:eastAsia="ar-SA"/>
              </w:rPr>
              <w:t>w  zł</w:t>
            </w:r>
          </w:p>
        </w:tc>
      </w:tr>
      <w:tr w:rsidR="003636A9" w:rsidTr="003636A9">
        <w:trPr>
          <w:trHeight w:val="735"/>
        </w:trPr>
        <w:tc>
          <w:tcPr>
            <w:tcW w:w="765" w:type="dxa"/>
            <w:tcBorders>
              <w:top w:val="nil"/>
              <w:left w:val="single" w:sz="4" w:space="0" w:color="000000"/>
              <w:bottom w:val="single" w:sz="4" w:space="0" w:color="auto"/>
              <w:right w:val="nil"/>
            </w:tcBorders>
            <w:hideMark/>
          </w:tcPr>
          <w:p w:rsidR="003636A9" w:rsidRDefault="003636A9">
            <w:pPr>
              <w:snapToGrid w:val="0"/>
              <w:jc w:val="right"/>
              <w:rPr>
                <w:rFonts w:ascii="Arial" w:hAnsi="Arial"/>
                <w:b/>
                <w:bCs/>
                <w:sz w:val="26"/>
                <w:szCs w:val="26"/>
                <w:lang w:eastAsia="ar-SA"/>
              </w:rPr>
            </w:pPr>
            <w:r>
              <w:rPr>
                <w:rFonts w:ascii="Arial" w:hAnsi="Arial"/>
                <w:b/>
                <w:bCs/>
                <w:sz w:val="26"/>
                <w:szCs w:val="26"/>
                <w:lang w:eastAsia="ar-SA"/>
              </w:rPr>
              <w:t>96/1</w:t>
            </w:r>
          </w:p>
        </w:tc>
        <w:tc>
          <w:tcPr>
            <w:tcW w:w="851" w:type="dxa"/>
            <w:tcBorders>
              <w:top w:val="nil"/>
              <w:left w:val="single" w:sz="4" w:space="0" w:color="000000"/>
              <w:bottom w:val="single" w:sz="4" w:space="0" w:color="auto"/>
              <w:right w:val="nil"/>
            </w:tcBorders>
          </w:tcPr>
          <w:p w:rsidR="003636A9" w:rsidRDefault="003636A9" w:rsidP="00CC3CB4">
            <w:pPr>
              <w:snapToGrid w:val="0"/>
              <w:jc w:val="center"/>
              <w:rPr>
                <w:rFonts w:ascii="Arial" w:hAnsi="Arial"/>
                <w:b/>
                <w:bCs/>
                <w:szCs w:val="24"/>
                <w:lang w:eastAsia="ar-SA"/>
              </w:rPr>
            </w:pPr>
            <w:r>
              <w:rPr>
                <w:rFonts w:ascii="Arial" w:hAnsi="Arial"/>
                <w:b/>
                <w:bCs/>
                <w:szCs w:val="24"/>
                <w:lang w:eastAsia="ar-SA"/>
              </w:rPr>
              <w:t>900</w:t>
            </w:r>
          </w:p>
          <w:p w:rsidR="003636A9" w:rsidRDefault="003636A9">
            <w:pPr>
              <w:snapToGrid w:val="0"/>
              <w:jc w:val="right"/>
              <w:rPr>
                <w:rFonts w:ascii="Arial" w:hAnsi="Arial"/>
                <w:b/>
                <w:bCs/>
                <w:szCs w:val="24"/>
                <w:lang w:eastAsia="ar-SA"/>
              </w:rPr>
            </w:pPr>
          </w:p>
        </w:tc>
        <w:tc>
          <w:tcPr>
            <w:tcW w:w="819" w:type="dxa"/>
            <w:tcBorders>
              <w:top w:val="nil"/>
              <w:left w:val="single" w:sz="4" w:space="0" w:color="000000"/>
              <w:bottom w:val="single" w:sz="4" w:space="0" w:color="auto"/>
              <w:right w:val="nil"/>
            </w:tcBorders>
          </w:tcPr>
          <w:p w:rsidR="003636A9" w:rsidRPr="003636A9" w:rsidRDefault="003636A9">
            <w:pPr>
              <w:snapToGrid w:val="0"/>
              <w:rPr>
                <w:rFonts w:ascii="Arial" w:hAnsi="Arial"/>
                <w:b/>
                <w:bCs/>
                <w:sz w:val="18"/>
                <w:szCs w:val="18"/>
                <w:lang w:val="en-US" w:eastAsia="ar-SA"/>
              </w:rPr>
            </w:pPr>
            <w:r>
              <w:rPr>
                <w:rFonts w:ascii="Arial" w:hAnsi="Arial"/>
                <w:b/>
                <w:bCs/>
                <w:sz w:val="18"/>
                <w:szCs w:val="18"/>
                <w:lang w:val="en-US" w:eastAsia="ar-SA"/>
              </w:rPr>
              <w:t>Ps IV - 900</w:t>
            </w:r>
            <w:r w:rsidRPr="003636A9">
              <w:rPr>
                <w:rFonts w:ascii="Arial" w:hAnsi="Arial"/>
                <w:b/>
                <w:bCs/>
                <w:sz w:val="18"/>
                <w:szCs w:val="18"/>
                <w:lang w:val="en-US" w:eastAsia="ar-SA"/>
              </w:rPr>
              <w:t xml:space="preserve">, </w:t>
            </w:r>
          </w:p>
          <w:p w:rsidR="003636A9" w:rsidRPr="003636A9" w:rsidRDefault="003636A9" w:rsidP="003636A9">
            <w:pPr>
              <w:snapToGrid w:val="0"/>
              <w:rPr>
                <w:rFonts w:ascii="Arial" w:hAnsi="Arial"/>
                <w:b/>
                <w:bCs/>
                <w:sz w:val="18"/>
                <w:szCs w:val="18"/>
                <w:lang w:val="en-US" w:eastAsia="ar-SA"/>
              </w:rPr>
            </w:pPr>
          </w:p>
        </w:tc>
        <w:tc>
          <w:tcPr>
            <w:tcW w:w="1701" w:type="dxa"/>
            <w:tcBorders>
              <w:top w:val="nil"/>
              <w:left w:val="single" w:sz="4" w:space="0" w:color="000000"/>
              <w:bottom w:val="single" w:sz="4" w:space="0" w:color="auto"/>
              <w:right w:val="nil"/>
            </w:tcBorders>
          </w:tcPr>
          <w:p w:rsidR="003636A9" w:rsidRDefault="003636A9" w:rsidP="003636A9">
            <w:pPr>
              <w:snapToGrid w:val="0"/>
              <w:rPr>
                <w:rFonts w:ascii="Arial" w:hAnsi="Arial"/>
                <w:b/>
                <w:sz w:val="18"/>
                <w:szCs w:val="18"/>
                <w:lang w:eastAsia="ar-SA"/>
              </w:rPr>
            </w:pPr>
            <w:r>
              <w:rPr>
                <w:rFonts w:ascii="Arial" w:hAnsi="Arial"/>
                <w:b/>
                <w:sz w:val="18"/>
                <w:szCs w:val="18"/>
                <w:lang w:eastAsia="ar-SA"/>
              </w:rPr>
              <w:t>EL1B/00013593/7</w:t>
            </w:r>
          </w:p>
          <w:p w:rsidR="003636A9" w:rsidRDefault="003636A9" w:rsidP="003636A9">
            <w:pPr>
              <w:snapToGrid w:val="0"/>
              <w:rPr>
                <w:rFonts w:ascii="Arial" w:hAnsi="Arial"/>
                <w:b/>
                <w:bCs/>
                <w:sz w:val="18"/>
                <w:szCs w:val="18"/>
                <w:lang w:eastAsia="ar-SA"/>
              </w:rPr>
            </w:pPr>
            <w:r>
              <w:rPr>
                <w:rFonts w:ascii="Arial" w:hAnsi="Arial"/>
                <w:sz w:val="18"/>
                <w:szCs w:val="18"/>
                <w:lang w:eastAsia="ar-SA"/>
              </w:rPr>
              <w:t>prowadzona przez Sąd Rejonowy w Braniewie</w:t>
            </w:r>
          </w:p>
        </w:tc>
        <w:tc>
          <w:tcPr>
            <w:tcW w:w="1307" w:type="dxa"/>
            <w:tcBorders>
              <w:top w:val="nil"/>
              <w:left w:val="single" w:sz="4" w:space="0" w:color="000000"/>
              <w:bottom w:val="single" w:sz="4" w:space="0" w:color="auto"/>
              <w:right w:val="nil"/>
            </w:tcBorders>
          </w:tcPr>
          <w:p w:rsidR="003636A9" w:rsidRDefault="003636A9" w:rsidP="003636A9">
            <w:pPr>
              <w:snapToGrid w:val="0"/>
              <w:jc w:val="center"/>
              <w:rPr>
                <w:rFonts w:ascii="Arial" w:hAnsi="Arial"/>
                <w:b/>
                <w:bCs/>
                <w:sz w:val="22"/>
                <w:szCs w:val="22"/>
                <w:lang w:eastAsia="ar-SA"/>
              </w:rPr>
            </w:pPr>
            <w:r>
              <w:rPr>
                <w:rFonts w:ascii="Arial" w:hAnsi="Arial"/>
                <w:b/>
                <w:bCs/>
                <w:sz w:val="22"/>
                <w:szCs w:val="22"/>
                <w:lang w:eastAsia="ar-SA"/>
              </w:rPr>
              <w:t>Dębiny</w:t>
            </w:r>
          </w:p>
          <w:p w:rsidR="003636A9" w:rsidRDefault="003636A9" w:rsidP="003636A9">
            <w:pPr>
              <w:snapToGrid w:val="0"/>
              <w:jc w:val="center"/>
              <w:rPr>
                <w:rFonts w:ascii="Arial" w:hAnsi="Arial"/>
                <w:b/>
                <w:bCs/>
                <w:sz w:val="22"/>
                <w:szCs w:val="22"/>
                <w:lang w:eastAsia="ar-SA"/>
              </w:rPr>
            </w:pPr>
          </w:p>
          <w:p w:rsidR="003636A9" w:rsidRDefault="003636A9" w:rsidP="003636A9">
            <w:pPr>
              <w:snapToGrid w:val="0"/>
              <w:jc w:val="center"/>
              <w:rPr>
                <w:rFonts w:ascii="Arial" w:hAnsi="Arial"/>
                <w:b/>
                <w:bCs/>
                <w:sz w:val="22"/>
                <w:szCs w:val="22"/>
                <w:lang w:eastAsia="ar-SA"/>
              </w:rPr>
            </w:pPr>
            <w:r>
              <w:rPr>
                <w:rFonts w:ascii="Arial" w:hAnsi="Arial"/>
                <w:b/>
                <w:bCs/>
                <w:sz w:val="22"/>
                <w:szCs w:val="22"/>
                <w:lang w:eastAsia="ar-SA"/>
              </w:rPr>
              <w:t>obręb</w:t>
            </w:r>
          </w:p>
          <w:p w:rsidR="003636A9" w:rsidRDefault="003636A9" w:rsidP="003636A9">
            <w:pPr>
              <w:snapToGrid w:val="0"/>
              <w:jc w:val="center"/>
              <w:rPr>
                <w:rFonts w:ascii="Arial" w:hAnsi="Arial"/>
                <w:b/>
                <w:bCs/>
                <w:sz w:val="22"/>
                <w:szCs w:val="22"/>
                <w:lang w:eastAsia="ar-SA"/>
              </w:rPr>
            </w:pPr>
            <w:r>
              <w:rPr>
                <w:rFonts w:ascii="Arial" w:hAnsi="Arial"/>
                <w:b/>
                <w:bCs/>
                <w:sz w:val="22"/>
                <w:szCs w:val="22"/>
                <w:lang w:eastAsia="ar-SA"/>
              </w:rPr>
              <w:t>Dębiny</w:t>
            </w:r>
          </w:p>
        </w:tc>
        <w:tc>
          <w:tcPr>
            <w:tcW w:w="4363" w:type="dxa"/>
            <w:tcBorders>
              <w:top w:val="nil"/>
              <w:left w:val="single" w:sz="4" w:space="0" w:color="000000"/>
              <w:bottom w:val="single" w:sz="4" w:space="0" w:color="auto"/>
              <w:right w:val="nil"/>
            </w:tcBorders>
          </w:tcPr>
          <w:p w:rsidR="003636A9" w:rsidRPr="003636A9" w:rsidRDefault="003636A9" w:rsidP="003636A9">
            <w:pPr>
              <w:pStyle w:val="Standard"/>
              <w:snapToGrid w:val="0"/>
              <w:rPr>
                <w:rFonts w:ascii="Arial" w:hAnsi="Arial" w:cs="Arial"/>
                <w:b/>
                <w:sz w:val="18"/>
                <w:lang w:val="pl-PL"/>
              </w:rPr>
            </w:pPr>
            <w:r w:rsidRPr="003636A9">
              <w:rPr>
                <w:rFonts w:ascii="Arial" w:hAnsi="Arial" w:cs="Arial"/>
                <w:b/>
                <w:sz w:val="18"/>
                <w:lang w:val="pl-PL"/>
              </w:rPr>
              <w:t xml:space="preserve">Działka gruntu niezabudowana. </w:t>
            </w:r>
          </w:p>
          <w:p w:rsidR="003636A9" w:rsidRPr="003636A9" w:rsidRDefault="003636A9" w:rsidP="003636A9">
            <w:pPr>
              <w:pStyle w:val="Standard"/>
              <w:snapToGrid w:val="0"/>
              <w:rPr>
                <w:sz w:val="18"/>
                <w:lang w:val="pl-PL"/>
              </w:rPr>
            </w:pPr>
            <w:r w:rsidRPr="003636A9">
              <w:rPr>
                <w:rFonts w:ascii="Arial" w:hAnsi="Arial" w:cs="Arial"/>
                <w:b/>
                <w:sz w:val="18"/>
                <w:lang w:val="pl-PL"/>
              </w:rPr>
              <w:t xml:space="preserve">Klasyfikacja gruntu: </w:t>
            </w:r>
            <w:proofErr w:type="spellStart"/>
            <w:r w:rsidRPr="003636A9">
              <w:rPr>
                <w:rFonts w:ascii="Arial" w:hAnsi="Arial" w:cs="Arial"/>
                <w:b/>
                <w:sz w:val="18"/>
                <w:lang w:val="pl-PL"/>
              </w:rPr>
              <w:t>Ps</w:t>
            </w:r>
            <w:proofErr w:type="spellEnd"/>
            <w:r w:rsidRPr="003636A9">
              <w:rPr>
                <w:rFonts w:ascii="Arial" w:hAnsi="Arial" w:cs="Arial"/>
                <w:b/>
                <w:sz w:val="18"/>
                <w:lang w:val="pl-PL"/>
              </w:rPr>
              <w:t xml:space="preserve"> IV – 900 m</w:t>
            </w:r>
            <w:r w:rsidRPr="003636A9">
              <w:rPr>
                <w:rFonts w:ascii="Arial" w:hAnsi="Arial" w:cs="Arial"/>
                <w:b/>
                <w:sz w:val="18"/>
                <w:vertAlign w:val="superscript"/>
                <w:lang w:val="pl-PL"/>
              </w:rPr>
              <w:t>2</w:t>
            </w:r>
            <w:r w:rsidRPr="003636A9">
              <w:rPr>
                <w:rFonts w:ascii="Arial" w:hAnsi="Arial" w:cs="Arial"/>
                <w:b/>
                <w:sz w:val="18"/>
                <w:lang w:val="pl-PL"/>
              </w:rPr>
              <w:t>.</w:t>
            </w:r>
          </w:p>
          <w:p w:rsidR="003636A9" w:rsidRPr="003636A9" w:rsidRDefault="003636A9" w:rsidP="003636A9">
            <w:pPr>
              <w:pStyle w:val="Standard"/>
              <w:snapToGrid w:val="0"/>
              <w:rPr>
                <w:rFonts w:ascii="Arial" w:hAnsi="Arial" w:cs="Arial"/>
                <w:sz w:val="18"/>
                <w:lang w:val="pl-PL"/>
              </w:rPr>
            </w:pPr>
          </w:p>
          <w:p w:rsidR="003636A9" w:rsidRPr="003636A9" w:rsidRDefault="003636A9" w:rsidP="003636A9">
            <w:pPr>
              <w:pStyle w:val="Standard"/>
              <w:snapToGrid w:val="0"/>
              <w:rPr>
                <w:rFonts w:ascii="Arial" w:hAnsi="Arial" w:cs="Arial"/>
                <w:sz w:val="18"/>
                <w:lang w:val="pl-PL"/>
              </w:rPr>
            </w:pPr>
            <w:r w:rsidRPr="003636A9">
              <w:rPr>
                <w:rFonts w:ascii="Arial" w:hAnsi="Arial" w:cs="Arial"/>
                <w:sz w:val="18"/>
                <w:lang w:val="pl-PL"/>
              </w:rPr>
              <w:t xml:space="preserve">Nieruchomość rolna o kształcie nieregularnym. Położona jest na skraju zwartej zabudowy i początku obszaru upraw rolnych, przylega ona do terenu zabudowanego typową zabudową zagrodową, niefunkcjonującą. Dojazd do działki z drogi powiatowej biegnącej przez wieś. Działka jest nieużytkowana porośnięta krzakami i chwastami, położona w części na skarpie. Posiada widoczne ślady fundamentowania oraz pozostałości sadu. Działka stanowi dojazd do działki 96/2. Utrzymana jest w słabej kulturze nie posiadająca cech drogi. Studium Uwarunkowań i Kierunków Zagospodarowania Przestrzennego Gminy Wilczęta określa przeznaczenie działki jako tereny rolnicze. </w:t>
            </w:r>
          </w:p>
          <w:p w:rsidR="003636A9" w:rsidRPr="003636A9" w:rsidRDefault="003636A9" w:rsidP="003636A9">
            <w:pPr>
              <w:pStyle w:val="Standard"/>
              <w:snapToGrid w:val="0"/>
              <w:rPr>
                <w:rFonts w:ascii="Arial" w:hAnsi="Arial" w:cs="Arial"/>
                <w:sz w:val="18"/>
                <w:lang w:val="pl-PL"/>
              </w:rPr>
            </w:pPr>
          </w:p>
          <w:p w:rsidR="003636A9" w:rsidRPr="003636A9" w:rsidRDefault="003636A9" w:rsidP="003636A9">
            <w:pPr>
              <w:snapToGrid w:val="0"/>
              <w:jc w:val="both"/>
              <w:rPr>
                <w:rFonts w:ascii="Arial" w:hAnsi="Arial"/>
                <w:b/>
                <w:bCs/>
                <w:sz w:val="18"/>
                <w:szCs w:val="18"/>
                <w:lang w:eastAsia="ar-SA"/>
              </w:rPr>
            </w:pPr>
            <w:r w:rsidRPr="003636A9">
              <w:rPr>
                <w:rFonts w:ascii="Arial" w:hAnsi="Arial" w:cs="Arial"/>
                <w:b/>
                <w:sz w:val="18"/>
              </w:rPr>
              <w:t>Księga wieczysta nie zawiera wpisów o ciężarach i ograniczeniach.</w:t>
            </w:r>
          </w:p>
        </w:tc>
        <w:tc>
          <w:tcPr>
            <w:tcW w:w="1276" w:type="dxa"/>
            <w:tcBorders>
              <w:top w:val="nil"/>
              <w:left w:val="single" w:sz="4" w:space="0" w:color="000000"/>
              <w:bottom w:val="single" w:sz="4" w:space="0" w:color="auto"/>
              <w:right w:val="nil"/>
            </w:tcBorders>
            <w:hideMark/>
          </w:tcPr>
          <w:p w:rsidR="003636A9" w:rsidRDefault="003636A9">
            <w:pPr>
              <w:snapToGrid w:val="0"/>
              <w:rPr>
                <w:rFonts w:ascii="Arial" w:hAnsi="Arial"/>
                <w:sz w:val="16"/>
                <w:szCs w:val="16"/>
                <w:lang w:eastAsia="ar-SA"/>
              </w:rPr>
            </w:pPr>
            <w:r>
              <w:rPr>
                <w:rFonts w:ascii="Arial" w:hAnsi="Arial"/>
                <w:sz w:val="16"/>
                <w:szCs w:val="16"/>
                <w:lang w:eastAsia="ar-SA"/>
              </w:rPr>
              <w:t xml:space="preserve">Na </w:t>
            </w:r>
            <w:r>
              <w:rPr>
                <w:rFonts w:ascii="Arial" w:hAnsi="Arial"/>
                <w:color w:val="000000"/>
                <w:sz w:val="16"/>
                <w:szCs w:val="16"/>
                <w:lang w:eastAsia="ar-SA"/>
              </w:rPr>
              <w:t>cele rolne</w:t>
            </w:r>
          </w:p>
        </w:tc>
        <w:tc>
          <w:tcPr>
            <w:tcW w:w="1165" w:type="dxa"/>
            <w:tcBorders>
              <w:top w:val="nil"/>
              <w:left w:val="single" w:sz="4" w:space="0" w:color="000000"/>
              <w:bottom w:val="single" w:sz="4" w:space="0" w:color="auto"/>
              <w:right w:val="single" w:sz="4" w:space="0" w:color="auto"/>
            </w:tcBorders>
          </w:tcPr>
          <w:p w:rsidR="003636A9" w:rsidRDefault="003636A9">
            <w:pPr>
              <w:snapToGrid w:val="0"/>
              <w:rPr>
                <w:rFonts w:ascii="Arial" w:hAnsi="Arial"/>
                <w:b/>
                <w:bCs/>
                <w:color w:val="000000"/>
                <w:szCs w:val="24"/>
                <w:lang w:eastAsia="ar-SA"/>
              </w:rPr>
            </w:pPr>
            <w:r>
              <w:rPr>
                <w:rFonts w:ascii="Arial" w:hAnsi="Arial"/>
                <w:b/>
                <w:bCs/>
                <w:color w:val="000000"/>
                <w:szCs w:val="24"/>
                <w:lang w:eastAsia="ar-SA"/>
              </w:rPr>
              <w:t>2000,00</w:t>
            </w:r>
          </w:p>
          <w:p w:rsidR="003636A9" w:rsidRDefault="003636A9">
            <w:pPr>
              <w:snapToGrid w:val="0"/>
              <w:rPr>
                <w:color w:val="000000"/>
                <w:szCs w:val="24"/>
              </w:rPr>
            </w:pPr>
          </w:p>
          <w:p w:rsidR="003636A9" w:rsidRDefault="003636A9">
            <w:pPr>
              <w:snapToGrid w:val="0"/>
              <w:rPr>
                <w:color w:val="000000"/>
                <w:szCs w:val="24"/>
              </w:rPr>
            </w:pPr>
          </w:p>
          <w:p w:rsidR="003636A9" w:rsidRDefault="003636A9">
            <w:pPr>
              <w:snapToGrid w:val="0"/>
              <w:jc w:val="right"/>
              <w:rPr>
                <w:rFonts w:ascii="Arial" w:hAnsi="Arial"/>
                <w:b/>
                <w:bCs/>
                <w:color w:val="000000"/>
                <w:szCs w:val="24"/>
                <w:lang w:eastAsia="ar-SA"/>
              </w:rPr>
            </w:pPr>
          </w:p>
          <w:p w:rsidR="003636A9" w:rsidRDefault="003636A9">
            <w:pPr>
              <w:snapToGrid w:val="0"/>
              <w:jc w:val="right"/>
              <w:rPr>
                <w:rFonts w:ascii="Arial" w:hAnsi="Arial"/>
                <w:color w:val="000000"/>
                <w:szCs w:val="24"/>
                <w:lang w:eastAsia="ar-SA"/>
              </w:rPr>
            </w:pPr>
          </w:p>
        </w:tc>
        <w:tc>
          <w:tcPr>
            <w:tcW w:w="850" w:type="dxa"/>
            <w:tcBorders>
              <w:top w:val="nil"/>
              <w:left w:val="single" w:sz="4" w:space="0" w:color="auto"/>
              <w:bottom w:val="single" w:sz="4" w:space="0" w:color="auto"/>
              <w:right w:val="nil"/>
            </w:tcBorders>
          </w:tcPr>
          <w:p w:rsidR="003636A9" w:rsidRPr="00CC3CB4" w:rsidRDefault="003636A9">
            <w:pPr>
              <w:widowControl/>
              <w:suppressAutoHyphens w:val="0"/>
              <w:rPr>
                <w:rFonts w:ascii="Arial" w:hAnsi="Arial"/>
                <w:b/>
                <w:color w:val="000000"/>
                <w:sz w:val="20"/>
                <w:lang w:eastAsia="ar-SA"/>
              </w:rPr>
            </w:pPr>
            <w:r w:rsidRPr="00CC3CB4">
              <w:rPr>
                <w:rFonts w:ascii="Arial" w:hAnsi="Arial"/>
                <w:b/>
                <w:color w:val="000000"/>
                <w:sz w:val="20"/>
                <w:lang w:eastAsia="ar-SA"/>
              </w:rPr>
              <w:t>300,00</w:t>
            </w:r>
          </w:p>
          <w:p w:rsidR="003636A9" w:rsidRPr="00CC3CB4" w:rsidRDefault="003636A9">
            <w:pPr>
              <w:widowControl/>
              <w:suppressAutoHyphens w:val="0"/>
              <w:rPr>
                <w:rFonts w:ascii="Arial" w:hAnsi="Arial"/>
                <w:b/>
                <w:color w:val="000000"/>
                <w:sz w:val="20"/>
                <w:lang w:eastAsia="ar-SA"/>
              </w:rPr>
            </w:pPr>
          </w:p>
          <w:p w:rsidR="003636A9" w:rsidRPr="00CC3CB4" w:rsidRDefault="003636A9">
            <w:pPr>
              <w:snapToGrid w:val="0"/>
              <w:jc w:val="right"/>
              <w:rPr>
                <w:rFonts w:ascii="Arial" w:hAnsi="Arial"/>
                <w:b/>
                <w:bCs/>
                <w:color w:val="000000"/>
                <w:sz w:val="20"/>
                <w:lang w:eastAsia="ar-SA"/>
              </w:rPr>
            </w:pPr>
          </w:p>
          <w:p w:rsidR="003636A9" w:rsidRPr="00CC3CB4" w:rsidRDefault="003636A9">
            <w:pPr>
              <w:snapToGrid w:val="0"/>
              <w:jc w:val="right"/>
              <w:rPr>
                <w:rFonts w:ascii="Arial" w:hAnsi="Arial"/>
                <w:b/>
                <w:color w:val="000000"/>
                <w:sz w:val="20"/>
                <w:lang w:eastAsia="ar-SA"/>
              </w:rPr>
            </w:pPr>
          </w:p>
        </w:tc>
        <w:tc>
          <w:tcPr>
            <w:tcW w:w="958" w:type="dxa"/>
            <w:tcBorders>
              <w:top w:val="nil"/>
              <w:left w:val="single" w:sz="4" w:space="0" w:color="000000"/>
              <w:bottom w:val="single" w:sz="4" w:space="0" w:color="auto"/>
              <w:right w:val="single" w:sz="4" w:space="0" w:color="000000"/>
            </w:tcBorders>
            <w:hideMark/>
          </w:tcPr>
          <w:p w:rsidR="003636A9" w:rsidRDefault="003636A9">
            <w:pPr>
              <w:snapToGrid w:val="0"/>
              <w:rPr>
                <w:rFonts w:ascii="Arial" w:hAnsi="Arial"/>
                <w:b/>
                <w:bCs/>
                <w:color w:val="000000"/>
                <w:szCs w:val="24"/>
                <w:lang w:eastAsia="ar-SA"/>
              </w:rPr>
            </w:pPr>
            <w:r>
              <w:rPr>
                <w:rFonts w:ascii="Arial" w:hAnsi="Arial"/>
                <w:b/>
                <w:bCs/>
                <w:color w:val="000000"/>
                <w:szCs w:val="24"/>
                <w:lang w:eastAsia="ar-SA"/>
              </w:rPr>
              <w:t>20,00</w:t>
            </w:r>
          </w:p>
        </w:tc>
      </w:tr>
      <w:tr w:rsidR="003636A9" w:rsidTr="003636A9">
        <w:trPr>
          <w:trHeight w:val="735"/>
        </w:trPr>
        <w:tc>
          <w:tcPr>
            <w:tcW w:w="765" w:type="dxa"/>
            <w:tcBorders>
              <w:top w:val="single" w:sz="4" w:space="0" w:color="auto"/>
              <w:left w:val="single" w:sz="4" w:space="0" w:color="000000"/>
              <w:bottom w:val="single" w:sz="4" w:space="0" w:color="auto"/>
              <w:right w:val="nil"/>
            </w:tcBorders>
            <w:hideMark/>
          </w:tcPr>
          <w:p w:rsidR="003636A9" w:rsidRDefault="003636A9" w:rsidP="00CC3CB4">
            <w:pPr>
              <w:snapToGrid w:val="0"/>
              <w:jc w:val="center"/>
              <w:rPr>
                <w:rFonts w:ascii="Arial" w:hAnsi="Arial"/>
                <w:b/>
                <w:bCs/>
                <w:sz w:val="26"/>
                <w:szCs w:val="26"/>
                <w:lang w:eastAsia="ar-SA"/>
              </w:rPr>
            </w:pPr>
            <w:r w:rsidRPr="00CC3CB4">
              <w:rPr>
                <w:rFonts w:ascii="Arial" w:hAnsi="Arial"/>
                <w:b/>
                <w:bCs/>
                <w:sz w:val="20"/>
                <w:szCs w:val="26"/>
                <w:lang w:eastAsia="ar-SA"/>
              </w:rPr>
              <w:t>257/3</w:t>
            </w:r>
          </w:p>
        </w:tc>
        <w:tc>
          <w:tcPr>
            <w:tcW w:w="851" w:type="dxa"/>
            <w:tcBorders>
              <w:top w:val="single" w:sz="4" w:space="0" w:color="auto"/>
              <w:left w:val="single" w:sz="4" w:space="0" w:color="000000"/>
              <w:bottom w:val="single" w:sz="4" w:space="0" w:color="auto"/>
              <w:right w:val="nil"/>
            </w:tcBorders>
          </w:tcPr>
          <w:p w:rsidR="003636A9" w:rsidRDefault="003636A9" w:rsidP="00CC3CB4">
            <w:pPr>
              <w:snapToGrid w:val="0"/>
              <w:jc w:val="center"/>
              <w:rPr>
                <w:rFonts w:ascii="Arial" w:hAnsi="Arial"/>
                <w:b/>
                <w:bCs/>
                <w:szCs w:val="24"/>
                <w:lang w:eastAsia="ar-SA"/>
              </w:rPr>
            </w:pPr>
            <w:r>
              <w:rPr>
                <w:rFonts w:ascii="Arial" w:hAnsi="Arial"/>
                <w:b/>
                <w:bCs/>
                <w:szCs w:val="24"/>
                <w:lang w:eastAsia="ar-SA"/>
              </w:rPr>
              <w:t>66</w:t>
            </w:r>
          </w:p>
          <w:p w:rsidR="003636A9" w:rsidRDefault="003636A9">
            <w:pPr>
              <w:snapToGrid w:val="0"/>
              <w:jc w:val="right"/>
              <w:rPr>
                <w:rFonts w:ascii="Arial" w:hAnsi="Arial"/>
                <w:b/>
                <w:bCs/>
                <w:szCs w:val="24"/>
                <w:lang w:eastAsia="ar-SA"/>
              </w:rPr>
            </w:pPr>
          </w:p>
        </w:tc>
        <w:tc>
          <w:tcPr>
            <w:tcW w:w="819" w:type="dxa"/>
            <w:tcBorders>
              <w:top w:val="single" w:sz="4" w:space="0" w:color="auto"/>
              <w:left w:val="single" w:sz="4" w:space="0" w:color="000000"/>
              <w:bottom w:val="single" w:sz="4" w:space="0" w:color="auto"/>
              <w:right w:val="nil"/>
            </w:tcBorders>
            <w:hideMark/>
          </w:tcPr>
          <w:p w:rsidR="003636A9" w:rsidRDefault="00CC3CB4">
            <w:pPr>
              <w:snapToGrid w:val="0"/>
              <w:jc w:val="right"/>
              <w:rPr>
                <w:rFonts w:ascii="Arial" w:hAnsi="Arial"/>
                <w:b/>
                <w:bCs/>
                <w:sz w:val="18"/>
                <w:szCs w:val="18"/>
                <w:lang w:eastAsia="ar-SA"/>
              </w:rPr>
            </w:pPr>
            <w:r>
              <w:rPr>
                <w:rFonts w:ascii="Arial" w:hAnsi="Arial"/>
                <w:b/>
                <w:bCs/>
                <w:sz w:val="18"/>
                <w:szCs w:val="18"/>
                <w:lang w:eastAsia="ar-SA"/>
              </w:rPr>
              <w:t>d</w:t>
            </w:r>
            <w:r w:rsidR="003636A9">
              <w:rPr>
                <w:rFonts w:ascii="Arial" w:hAnsi="Arial"/>
                <w:b/>
                <w:bCs/>
                <w:sz w:val="18"/>
                <w:szCs w:val="18"/>
                <w:lang w:eastAsia="ar-SA"/>
              </w:rPr>
              <w:t xml:space="preserve">r - 66 </w:t>
            </w:r>
          </w:p>
        </w:tc>
        <w:tc>
          <w:tcPr>
            <w:tcW w:w="1701" w:type="dxa"/>
            <w:tcBorders>
              <w:top w:val="single" w:sz="4" w:space="0" w:color="auto"/>
              <w:left w:val="single" w:sz="4" w:space="0" w:color="000000"/>
              <w:bottom w:val="single" w:sz="4" w:space="0" w:color="auto"/>
              <w:right w:val="nil"/>
            </w:tcBorders>
            <w:hideMark/>
          </w:tcPr>
          <w:p w:rsidR="003636A9" w:rsidRDefault="003636A9" w:rsidP="003636A9">
            <w:pPr>
              <w:snapToGrid w:val="0"/>
              <w:rPr>
                <w:rFonts w:ascii="Arial" w:hAnsi="Arial"/>
                <w:b/>
                <w:sz w:val="18"/>
                <w:szCs w:val="18"/>
                <w:lang w:eastAsia="ar-SA"/>
              </w:rPr>
            </w:pPr>
            <w:r>
              <w:rPr>
                <w:rFonts w:ascii="Arial" w:hAnsi="Arial"/>
                <w:b/>
                <w:sz w:val="18"/>
                <w:szCs w:val="18"/>
                <w:lang w:eastAsia="ar-SA"/>
              </w:rPr>
              <w:t>EL1B/00013656/7</w:t>
            </w:r>
          </w:p>
          <w:p w:rsidR="003636A9" w:rsidRDefault="003636A9" w:rsidP="003636A9">
            <w:pPr>
              <w:snapToGrid w:val="0"/>
              <w:rPr>
                <w:rFonts w:ascii="Arial" w:hAnsi="Arial"/>
                <w:b/>
                <w:bCs/>
                <w:sz w:val="18"/>
                <w:szCs w:val="18"/>
                <w:lang w:eastAsia="ar-SA"/>
              </w:rPr>
            </w:pPr>
            <w:r>
              <w:rPr>
                <w:rFonts w:ascii="Arial" w:hAnsi="Arial"/>
                <w:sz w:val="18"/>
                <w:szCs w:val="18"/>
                <w:lang w:eastAsia="ar-SA"/>
              </w:rPr>
              <w:t>prowadzona przez Sąd Rejonowy w Braniewie</w:t>
            </w:r>
          </w:p>
        </w:tc>
        <w:tc>
          <w:tcPr>
            <w:tcW w:w="1307" w:type="dxa"/>
            <w:tcBorders>
              <w:top w:val="single" w:sz="4" w:space="0" w:color="auto"/>
              <w:left w:val="single" w:sz="4" w:space="0" w:color="000000"/>
              <w:bottom w:val="single" w:sz="4" w:space="0" w:color="auto"/>
              <w:right w:val="nil"/>
            </w:tcBorders>
          </w:tcPr>
          <w:p w:rsidR="003636A9" w:rsidRDefault="003636A9" w:rsidP="003636A9">
            <w:pPr>
              <w:snapToGrid w:val="0"/>
              <w:jc w:val="center"/>
              <w:rPr>
                <w:rFonts w:ascii="Arial" w:hAnsi="Arial"/>
                <w:b/>
                <w:bCs/>
                <w:sz w:val="22"/>
                <w:szCs w:val="22"/>
                <w:lang w:eastAsia="ar-SA"/>
              </w:rPr>
            </w:pPr>
            <w:r>
              <w:rPr>
                <w:rFonts w:ascii="Arial" w:hAnsi="Arial"/>
                <w:b/>
                <w:bCs/>
                <w:sz w:val="22"/>
                <w:szCs w:val="22"/>
                <w:lang w:eastAsia="ar-SA"/>
              </w:rPr>
              <w:t>Stare Siedlisko</w:t>
            </w:r>
          </w:p>
          <w:p w:rsidR="003636A9" w:rsidRDefault="003636A9">
            <w:pPr>
              <w:snapToGrid w:val="0"/>
              <w:rPr>
                <w:rFonts w:ascii="Arial" w:hAnsi="Arial"/>
                <w:b/>
                <w:bCs/>
                <w:sz w:val="22"/>
                <w:szCs w:val="22"/>
                <w:lang w:eastAsia="ar-SA"/>
              </w:rPr>
            </w:pPr>
          </w:p>
          <w:p w:rsidR="003636A9" w:rsidRDefault="003636A9" w:rsidP="003636A9">
            <w:pPr>
              <w:snapToGrid w:val="0"/>
              <w:jc w:val="center"/>
              <w:rPr>
                <w:rFonts w:ascii="Arial" w:hAnsi="Arial"/>
                <w:b/>
                <w:bCs/>
                <w:sz w:val="22"/>
                <w:szCs w:val="22"/>
                <w:lang w:eastAsia="ar-SA"/>
              </w:rPr>
            </w:pPr>
            <w:r>
              <w:rPr>
                <w:rFonts w:ascii="Arial" w:hAnsi="Arial"/>
                <w:b/>
                <w:bCs/>
                <w:sz w:val="22"/>
                <w:szCs w:val="22"/>
                <w:lang w:eastAsia="ar-SA"/>
              </w:rPr>
              <w:t>Obręb</w:t>
            </w:r>
          </w:p>
          <w:p w:rsidR="003636A9" w:rsidRDefault="003636A9" w:rsidP="003636A9">
            <w:pPr>
              <w:snapToGrid w:val="0"/>
              <w:jc w:val="center"/>
              <w:rPr>
                <w:rFonts w:ascii="Arial" w:hAnsi="Arial"/>
                <w:b/>
                <w:bCs/>
                <w:sz w:val="22"/>
                <w:szCs w:val="22"/>
                <w:lang w:eastAsia="ar-SA"/>
              </w:rPr>
            </w:pPr>
            <w:r>
              <w:rPr>
                <w:rFonts w:ascii="Arial" w:hAnsi="Arial"/>
                <w:b/>
                <w:bCs/>
                <w:sz w:val="22"/>
                <w:szCs w:val="22"/>
                <w:lang w:eastAsia="ar-SA"/>
              </w:rPr>
              <w:t>Stare Siedlisko</w:t>
            </w:r>
          </w:p>
        </w:tc>
        <w:tc>
          <w:tcPr>
            <w:tcW w:w="4363" w:type="dxa"/>
            <w:tcBorders>
              <w:top w:val="single" w:sz="4" w:space="0" w:color="auto"/>
              <w:left w:val="single" w:sz="4" w:space="0" w:color="000000"/>
              <w:bottom w:val="single" w:sz="4" w:space="0" w:color="auto"/>
              <w:right w:val="nil"/>
            </w:tcBorders>
          </w:tcPr>
          <w:p w:rsidR="003636A9" w:rsidRPr="003636A9" w:rsidRDefault="003636A9" w:rsidP="003636A9">
            <w:pPr>
              <w:pStyle w:val="Standard"/>
              <w:snapToGrid w:val="0"/>
              <w:jc w:val="both"/>
              <w:rPr>
                <w:rFonts w:ascii="Arial" w:eastAsia="Times New Roman" w:hAnsi="Arial" w:cs="Times New Roman"/>
                <w:b/>
                <w:color w:val="auto"/>
                <w:sz w:val="18"/>
                <w:szCs w:val="20"/>
                <w:lang w:val="pl-PL" w:bidi="ar-SA"/>
              </w:rPr>
            </w:pPr>
            <w:r w:rsidRPr="003636A9">
              <w:rPr>
                <w:rFonts w:ascii="Arial" w:eastAsia="Times New Roman" w:hAnsi="Arial" w:cs="Times New Roman"/>
                <w:b/>
                <w:color w:val="auto"/>
                <w:sz w:val="18"/>
                <w:szCs w:val="20"/>
                <w:lang w:val="pl-PL" w:bidi="ar-SA"/>
              </w:rPr>
              <w:t>Działka gruntu  niezabudowana.</w:t>
            </w:r>
          </w:p>
          <w:p w:rsidR="003636A9" w:rsidRPr="003636A9" w:rsidRDefault="003636A9" w:rsidP="003636A9">
            <w:pPr>
              <w:pStyle w:val="Standard"/>
              <w:snapToGrid w:val="0"/>
              <w:jc w:val="both"/>
              <w:rPr>
                <w:sz w:val="18"/>
                <w:lang w:val="pl-PL"/>
              </w:rPr>
            </w:pPr>
            <w:r w:rsidRPr="003636A9">
              <w:rPr>
                <w:rFonts w:ascii="Arial" w:eastAsia="Times New Roman" w:hAnsi="Arial" w:cs="Times New Roman"/>
                <w:b/>
                <w:color w:val="auto"/>
                <w:sz w:val="18"/>
                <w:szCs w:val="20"/>
                <w:lang w:val="pl-PL" w:bidi="ar-SA"/>
              </w:rPr>
              <w:t>Klasyfikacja gruntu: dr – 66 m</w:t>
            </w:r>
            <w:r w:rsidRPr="003636A9">
              <w:rPr>
                <w:rFonts w:ascii="Arial" w:eastAsia="Times New Roman" w:hAnsi="Arial" w:cs="Times New Roman"/>
                <w:b/>
                <w:color w:val="auto"/>
                <w:sz w:val="18"/>
                <w:szCs w:val="20"/>
                <w:vertAlign w:val="superscript"/>
                <w:lang w:val="pl-PL" w:bidi="ar-SA"/>
              </w:rPr>
              <w:t>2</w:t>
            </w:r>
            <w:r w:rsidRPr="003636A9">
              <w:rPr>
                <w:rFonts w:ascii="Arial" w:eastAsia="Times New Roman" w:hAnsi="Arial" w:cs="Times New Roman"/>
                <w:b/>
                <w:color w:val="auto"/>
                <w:sz w:val="18"/>
                <w:szCs w:val="20"/>
                <w:lang w:val="pl-PL" w:bidi="ar-SA"/>
              </w:rPr>
              <w:t>.</w:t>
            </w:r>
          </w:p>
          <w:p w:rsidR="003636A9" w:rsidRPr="003636A9" w:rsidRDefault="003636A9" w:rsidP="003636A9">
            <w:pPr>
              <w:pStyle w:val="Standard"/>
              <w:snapToGrid w:val="0"/>
              <w:jc w:val="both"/>
              <w:rPr>
                <w:rFonts w:ascii="Arial" w:eastAsia="Times New Roman" w:hAnsi="Arial" w:cs="Times New Roman"/>
                <w:color w:val="auto"/>
                <w:sz w:val="18"/>
                <w:szCs w:val="20"/>
                <w:lang w:val="pl-PL" w:bidi="ar-SA"/>
              </w:rPr>
            </w:pPr>
          </w:p>
          <w:p w:rsidR="003636A9" w:rsidRPr="003636A9" w:rsidRDefault="003636A9" w:rsidP="003636A9">
            <w:pPr>
              <w:pStyle w:val="Standard"/>
              <w:snapToGrid w:val="0"/>
              <w:jc w:val="both"/>
              <w:rPr>
                <w:rFonts w:ascii="Arial" w:hAnsi="Arial" w:cs="Arial"/>
                <w:sz w:val="18"/>
                <w:lang w:val="pl-PL"/>
              </w:rPr>
            </w:pPr>
            <w:r w:rsidRPr="003636A9">
              <w:rPr>
                <w:rFonts w:ascii="Arial" w:hAnsi="Arial" w:cs="Arial"/>
                <w:sz w:val="18"/>
                <w:lang w:val="pl-PL"/>
              </w:rPr>
              <w:t xml:space="preserve">Nieruchomość o kształcie regularnym. Położona na skraju zwartej zabudowy i początku obszaru upraw rolnych. Działka przylega do terenu zabudowanego typową zabudową zagrodową. Jest to grunt rolny wydzielony z większego areału w celu stworzenia drogi wewnętrznej. Dojazd do działki z drogi </w:t>
            </w:r>
            <w:r w:rsidRPr="003636A9">
              <w:rPr>
                <w:rFonts w:ascii="Arial" w:hAnsi="Arial" w:cs="Arial"/>
                <w:sz w:val="18"/>
                <w:lang w:val="pl-PL"/>
              </w:rPr>
              <w:lastRenderedPageBreak/>
              <w:t xml:space="preserve">wojewódzkiej DW 506 biegnącej przez wieś. Działka użytkowana jako droga dojazdowa do działki 257/2. Studium Uwarunkowań i Kierunków Zagospodarowania Przestrzennego Gminy Wilczęta określa przeznaczenie działki jako drogę wewnętrzną. </w:t>
            </w:r>
          </w:p>
          <w:p w:rsidR="003636A9" w:rsidRPr="003636A9" w:rsidRDefault="003636A9" w:rsidP="003636A9">
            <w:pPr>
              <w:pStyle w:val="Standard"/>
              <w:snapToGrid w:val="0"/>
              <w:jc w:val="both"/>
              <w:rPr>
                <w:rFonts w:ascii="Arial" w:hAnsi="Arial" w:cs="Arial"/>
                <w:sz w:val="18"/>
                <w:lang w:val="pl-PL"/>
              </w:rPr>
            </w:pPr>
          </w:p>
          <w:p w:rsidR="003636A9" w:rsidRPr="003636A9" w:rsidRDefault="003636A9" w:rsidP="003636A9">
            <w:pPr>
              <w:pStyle w:val="Standard"/>
              <w:snapToGrid w:val="0"/>
              <w:rPr>
                <w:rFonts w:ascii="Arial" w:eastAsia="Times New Roman" w:hAnsi="Arial" w:cs="Times New Roman"/>
                <w:b/>
                <w:color w:val="auto"/>
                <w:sz w:val="18"/>
                <w:szCs w:val="20"/>
                <w:lang w:val="pl-PL" w:bidi="ar-SA"/>
              </w:rPr>
            </w:pPr>
            <w:r w:rsidRPr="003636A9">
              <w:rPr>
                <w:rFonts w:ascii="Arial" w:eastAsia="Times New Roman" w:hAnsi="Arial" w:cs="Times New Roman"/>
                <w:b/>
                <w:color w:val="auto"/>
                <w:sz w:val="18"/>
                <w:szCs w:val="20"/>
                <w:lang w:val="pl-PL" w:bidi="ar-SA"/>
              </w:rPr>
              <w:t xml:space="preserve">Księga wieczysta nie zawiera wpisów o ciężarach i ograniczeniach.  </w:t>
            </w:r>
          </w:p>
          <w:p w:rsidR="003636A9" w:rsidRPr="003636A9" w:rsidRDefault="003636A9">
            <w:pPr>
              <w:snapToGrid w:val="0"/>
              <w:jc w:val="both"/>
              <w:rPr>
                <w:rFonts w:ascii="Arial" w:hAnsi="Arial"/>
                <w:b/>
                <w:bCs/>
                <w:sz w:val="18"/>
                <w:szCs w:val="18"/>
                <w:lang w:eastAsia="ar-SA"/>
              </w:rPr>
            </w:pPr>
          </w:p>
        </w:tc>
        <w:tc>
          <w:tcPr>
            <w:tcW w:w="1276" w:type="dxa"/>
            <w:tcBorders>
              <w:top w:val="single" w:sz="4" w:space="0" w:color="auto"/>
              <w:left w:val="single" w:sz="4" w:space="0" w:color="000000"/>
              <w:bottom w:val="single" w:sz="4" w:space="0" w:color="auto"/>
              <w:right w:val="nil"/>
            </w:tcBorders>
            <w:hideMark/>
          </w:tcPr>
          <w:p w:rsidR="003636A9" w:rsidRDefault="003636A9">
            <w:pPr>
              <w:snapToGrid w:val="0"/>
              <w:rPr>
                <w:rFonts w:ascii="Arial" w:hAnsi="Arial"/>
                <w:color w:val="FF0000"/>
                <w:sz w:val="16"/>
                <w:szCs w:val="16"/>
                <w:lang w:eastAsia="ar-SA"/>
              </w:rPr>
            </w:pPr>
            <w:r>
              <w:rPr>
                <w:rFonts w:ascii="Arial" w:hAnsi="Arial"/>
                <w:sz w:val="16"/>
                <w:szCs w:val="16"/>
                <w:lang w:eastAsia="ar-SA"/>
              </w:rPr>
              <w:lastRenderedPageBreak/>
              <w:t xml:space="preserve">Droga dojazdowa </w:t>
            </w:r>
          </w:p>
        </w:tc>
        <w:tc>
          <w:tcPr>
            <w:tcW w:w="1165" w:type="dxa"/>
            <w:tcBorders>
              <w:top w:val="single" w:sz="4" w:space="0" w:color="auto"/>
              <w:left w:val="single" w:sz="4" w:space="0" w:color="000000"/>
              <w:bottom w:val="single" w:sz="4" w:space="0" w:color="auto"/>
              <w:right w:val="single" w:sz="4" w:space="0" w:color="auto"/>
            </w:tcBorders>
          </w:tcPr>
          <w:p w:rsidR="003636A9" w:rsidRDefault="003636A9">
            <w:pPr>
              <w:snapToGrid w:val="0"/>
              <w:rPr>
                <w:rFonts w:ascii="Arial" w:hAnsi="Arial"/>
                <w:b/>
                <w:bCs/>
                <w:color w:val="000000"/>
                <w:szCs w:val="24"/>
                <w:lang w:eastAsia="ar-SA"/>
              </w:rPr>
            </w:pPr>
            <w:r>
              <w:rPr>
                <w:rFonts w:ascii="Arial" w:hAnsi="Arial"/>
                <w:b/>
                <w:bCs/>
                <w:color w:val="000000"/>
                <w:szCs w:val="24"/>
                <w:lang w:eastAsia="ar-SA"/>
              </w:rPr>
              <w:t xml:space="preserve"> 200,00 </w:t>
            </w:r>
          </w:p>
          <w:p w:rsidR="003636A9" w:rsidRDefault="003636A9">
            <w:pPr>
              <w:snapToGrid w:val="0"/>
              <w:rPr>
                <w:color w:val="000000"/>
                <w:szCs w:val="24"/>
              </w:rPr>
            </w:pPr>
          </w:p>
          <w:p w:rsidR="003636A9" w:rsidRDefault="003636A9">
            <w:pPr>
              <w:snapToGrid w:val="0"/>
              <w:rPr>
                <w:color w:val="000000"/>
                <w:szCs w:val="24"/>
              </w:rPr>
            </w:pPr>
          </w:p>
          <w:p w:rsidR="003636A9" w:rsidRDefault="003636A9">
            <w:pPr>
              <w:snapToGrid w:val="0"/>
              <w:jc w:val="right"/>
              <w:rPr>
                <w:rFonts w:ascii="Arial" w:hAnsi="Arial"/>
                <w:b/>
                <w:bCs/>
                <w:color w:val="000000"/>
                <w:szCs w:val="24"/>
                <w:lang w:eastAsia="ar-SA"/>
              </w:rPr>
            </w:pPr>
          </w:p>
          <w:p w:rsidR="003636A9" w:rsidRDefault="003636A9">
            <w:pPr>
              <w:snapToGrid w:val="0"/>
              <w:jc w:val="right"/>
              <w:rPr>
                <w:rFonts w:ascii="Arial" w:hAnsi="Arial"/>
                <w:color w:val="000000"/>
                <w:szCs w:val="24"/>
                <w:lang w:eastAsia="ar-SA"/>
              </w:rPr>
            </w:pPr>
          </w:p>
        </w:tc>
        <w:tc>
          <w:tcPr>
            <w:tcW w:w="850" w:type="dxa"/>
            <w:tcBorders>
              <w:top w:val="single" w:sz="4" w:space="0" w:color="auto"/>
              <w:left w:val="single" w:sz="4" w:space="0" w:color="auto"/>
              <w:bottom w:val="single" w:sz="4" w:space="0" w:color="auto"/>
              <w:right w:val="nil"/>
            </w:tcBorders>
          </w:tcPr>
          <w:p w:rsidR="003636A9" w:rsidRDefault="003636A9">
            <w:pPr>
              <w:widowControl/>
              <w:suppressAutoHyphens w:val="0"/>
              <w:rPr>
                <w:rFonts w:ascii="Arial" w:hAnsi="Arial"/>
                <w:b/>
                <w:color w:val="000000"/>
                <w:sz w:val="18"/>
                <w:szCs w:val="18"/>
                <w:lang w:eastAsia="ar-SA"/>
              </w:rPr>
            </w:pPr>
            <w:r>
              <w:rPr>
                <w:rFonts w:ascii="Arial" w:hAnsi="Arial"/>
                <w:b/>
                <w:color w:val="000000"/>
                <w:sz w:val="18"/>
                <w:szCs w:val="18"/>
                <w:lang w:eastAsia="ar-SA"/>
              </w:rPr>
              <w:t xml:space="preserve">30,00 </w:t>
            </w:r>
          </w:p>
          <w:p w:rsidR="003636A9" w:rsidRDefault="003636A9">
            <w:pPr>
              <w:widowControl/>
              <w:suppressAutoHyphens w:val="0"/>
              <w:rPr>
                <w:rFonts w:ascii="Arial" w:hAnsi="Arial"/>
                <w:b/>
                <w:color w:val="000000"/>
                <w:sz w:val="18"/>
                <w:szCs w:val="18"/>
                <w:lang w:eastAsia="ar-SA"/>
              </w:rPr>
            </w:pPr>
          </w:p>
          <w:p w:rsidR="003636A9" w:rsidRDefault="003636A9">
            <w:pPr>
              <w:snapToGrid w:val="0"/>
              <w:jc w:val="right"/>
              <w:rPr>
                <w:rFonts w:ascii="Arial" w:hAnsi="Arial"/>
                <w:b/>
                <w:bCs/>
                <w:color w:val="000000"/>
                <w:sz w:val="20"/>
                <w:lang w:eastAsia="ar-SA"/>
              </w:rPr>
            </w:pPr>
          </w:p>
          <w:p w:rsidR="003636A9" w:rsidRDefault="003636A9">
            <w:pPr>
              <w:snapToGrid w:val="0"/>
              <w:jc w:val="right"/>
              <w:rPr>
                <w:rFonts w:ascii="Arial" w:hAnsi="Arial"/>
                <w:b/>
                <w:color w:val="000000"/>
                <w:sz w:val="20"/>
                <w:lang w:eastAsia="ar-SA"/>
              </w:rPr>
            </w:pPr>
          </w:p>
        </w:tc>
        <w:tc>
          <w:tcPr>
            <w:tcW w:w="958" w:type="dxa"/>
            <w:tcBorders>
              <w:top w:val="single" w:sz="4" w:space="0" w:color="auto"/>
              <w:left w:val="single" w:sz="4" w:space="0" w:color="000000"/>
              <w:bottom w:val="single" w:sz="4" w:space="0" w:color="auto"/>
              <w:right w:val="single" w:sz="4" w:space="0" w:color="000000"/>
            </w:tcBorders>
            <w:hideMark/>
          </w:tcPr>
          <w:p w:rsidR="003636A9" w:rsidRDefault="009E7072" w:rsidP="003636A9">
            <w:pPr>
              <w:snapToGrid w:val="0"/>
              <w:rPr>
                <w:rFonts w:ascii="Arial" w:hAnsi="Arial"/>
                <w:b/>
                <w:bCs/>
                <w:color w:val="000000"/>
                <w:szCs w:val="24"/>
                <w:lang w:eastAsia="ar-SA"/>
              </w:rPr>
            </w:pPr>
            <w:r>
              <w:rPr>
                <w:rFonts w:ascii="Arial" w:hAnsi="Arial"/>
                <w:b/>
                <w:bCs/>
                <w:color w:val="000000"/>
                <w:szCs w:val="24"/>
                <w:lang w:eastAsia="ar-SA"/>
              </w:rPr>
              <w:t xml:space="preserve"> 10</w:t>
            </w:r>
            <w:r w:rsidR="003636A9">
              <w:rPr>
                <w:rFonts w:ascii="Arial" w:hAnsi="Arial"/>
                <w:b/>
                <w:bCs/>
                <w:color w:val="000000"/>
                <w:szCs w:val="24"/>
                <w:lang w:eastAsia="ar-SA"/>
              </w:rPr>
              <w:t xml:space="preserve">,00 </w:t>
            </w:r>
          </w:p>
        </w:tc>
      </w:tr>
    </w:tbl>
    <w:p w:rsidR="003636A9" w:rsidRDefault="003636A9" w:rsidP="003636A9">
      <w:pPr>
        <w:rPr>
          <w:rFonts w:ascii="Arial" w:hAnsi="Arial"/>
          <w:sz w:val="20"/>
        </w:rPr>
      </w:pPr>
      <w:r>
        <w:t xml:space="preserve"> </w:t>
      </w:r>
      <w:r>
        <w:rPr>
          <w:rFonts w:ascii="Arial" w:hAnsi="Arial"/>
          <w:sz w:val="20"/>
        </w:rPr>
        <w:t xml:space="preserve">  Powyższe nieruchomości są obciążone ograniczonymi prawami rzeczowymi, ani też nie ma przeszkód prawnych w rozporządzaniu nimi. Gmina Wilczęta sprzedaje ww. nieruchomości na podstawie danych z ewidencji gruntów i wszelkie obmiary oraz rozgraniczenia nieruchomości może przeprowadzić nabywca na koszt własny.</w:t>
      </w:r>
    </w:p>
    <w:p w:rsidR="003636A9" w:rsidRDefault="003636A9" w:rsidP="003636A9">
      <w:pPr>
        <w:pStyle w:val="Tytu"/>
        <w:tabs>
          <w:tab w:val="left" w:pos="10440"/>
        </w:tabs>
        <w:jc w:val="both"/>
        <w:rPr>
          <w:rFonts w:ascii="Arial" w:eastAsia="Times New Roman" w:hAnsi="Arial" w:cs="Times New Roman"/>
          <w:b w:val="0"/>
          <w:bCs w:val="0"/>
          <w:color w:val="auto"/>
          <w:sz w:val="24"/>
          <w:lang w:val="pl-PL" w:eastAsia="ar-SA" w:bidi="ar-SA"/>
        </w:rPr>
      </w:pPr>
      <w:r>
        <w:rPr>
          <w:rFonts w:ascii="Arial" w:hAnsi="Arial"/>
          <w:b w:val="0"/>
          <w:sz w:val="21"/>
          <w:szCs w:val="21"/>
          <w:lang w:val="pl-PL" w:eastAsia="ar-SA"/>
        </w:rPr>
        <w:t xml:space="preserve">1. </w:t>
      </w:r>
      <w:r>
        <w:rPr>
          <w:rFonts w:ascii="Arial" w:eastAsia="Times New Roman" w:hAnsi="Arial" w:cs="Times New Roman"/>
          <w:b w:val="0"/>
          <w:bCs w:val="0"/>
          <w:color w:val="auto"/>
          <w:sz w:val="24"/>
          <w:lang w:val="pl-PL" w:eastAsia="ar-SA" w:bidi="ar-SA"/>
        </w:rPr>
        <w:t>Przeznaczenie nieruchomości w miejscowym planie zagospodarowania przestrzennego gminy: Ustalenia miejscowego planu</w:t>
      </w:r>
    </w:p>
    <w:p w:rsidR="003636A9" w:rsidRDefault="003636A9" w:rsidP="003636A9">
      <w:pPr>
        <w:pStyle w:val="Tytu"/>
        <w:tabs>
          <w:tab w:val="left" w:pos="10440"/>
        </w:tabs>
        <w:jc w:val="left"/>
        <w:rPr>
          <w:rFonts w:ascii="Arial" w:hAnsi="Arial"/>
          <w:sz w:val="20"/>
          <w:lang w:val="pl-PL"/>
        </w:rPr>
      </w:pPr>
      <w:r>
        <w:rPr>
          <w:rFonts w:ascii="Arial" w:eastAsia="Times New Roman" w:hAnsi="Arial" w:cs="Times New Roman"/>
          <w:b w:val="0"/>
          <w:bCs w:val="0"/>
          <w:color w:val="auto"/>
          <w:sz w:val="24"/>
          <w:lang w:val="pl-PL" w:eastAsia="ar-SA" w:bidi="ar-SA"/>
        </w:rPr>
        <w:t xml:space="preserve"> zagospodarowania przestrzennego nieruchomości przestały obowiązywać od dnia 01.01.2004 roku, </w:t>
      </w:r>
      <w:r>
        <w:rPr>
          <w:rFonts w:ascii="Arial" w:eastAsia="Times New Roman" w:hAnsi="Arial" w:cs="Times New Roman"/>
          <w:b w:val="0"/>
          <w:bCs w:val="0"/>
          <w:sz w:val="24"/>
          <w:lang w:val="pl-PL" w:eastAsia="ar-SA" w:bidi="ar-SA"/>
        </w:rPr>
        <w:t>na podstawie art. 87 ust. 3  ustawy z dnia 27.03.2003 roku o planowaniu i z</w:t>
      </w:r>
      <w:r w:rsidR="00CC3CB4">
        <w:rPr>
          <w:rFonts w:ascii="Arial" w:eastAsia="Times New Roman" w:hAnsi="Arial" w:cs="Times New Roman"/>
          <w:b w:val="0"/>
          <w:bCs w:val="0"/>
          <w:sz w:val="24"/>
          <w:lang w:val="pl-PL" w:eastAsia="ar-SA" w:bidi="ar-SA"/>
        </w:rPr>
        <w:t>agospodarowaniu przestrzennym (</w:t>
      </w:r>
      <w:proofErr w:type="spellStart"/>
      <w:r>
        <w:rPr>
          <w:rFonts w:ascii="Arial" w:eastAsia="Times New Roman" w:hAnsi="Arial" w:cs="Times New Roman"/>
          <w:b w:val="0"/>
          <w:bCs w:val="0"/>
          <w:sz w:val="24"/>
          <w:lang w:val="pl-PL" w:eastAsia="ar-SA" w:bidi="ar-SA"/>
        </w:rPr>
        <w:t>t.j</w:t>
      </w:r>
      <w:proofErr w:type="spellEnd"/>
      <w:r>
        <w:rPr>
          <w:rFonts w:ascii="Arial" w:eastAsia="Times New Roman" w:hAnsi="Arial" w:cs="Times New Roman"/>
          <w:b w:val="0"/>
          <w:bCs w:val="0"/>
          <w:sz w:val="24"/>
          <w:lang w:val="pl-PL" w:eastAsia="ar-SA" w:bidi="ar-SA"/>
        </w:rPr>
        <w:t>.: Dz.U. z 2017 r., poz. 1073).</w:t>
      </w:r>
      <w:r>
        <w:rPr>
          <w:rFonts w:ascii="Arial" w:eastAsia="Times New Roman" w:hAnsi="Arial" w:cs="Times New Roman"/>
          <w:b w:val="0"/>
          <w:bCs w:val="0"/>
          <w:color w:val="auto"/>
          <w:sz w:val="24"/>
          <w:lang w:val="pl-PL" w:eastAsia="ar-SA" w:bidi="ar-SA"/>
        </w:rPr>
        <w:t xml:space="preserve">  </w:t>
      </w:r>
    </w:p>
    <w:p w:rsidR="003636A9" w:rsidRDefault="003636A9" w:rsidP="003636A9">
      <w:pPr>
        <w:rPr>
          <w:rFonts w:ascii="Arial" w:hAnsi="Arial"/>
          <w:sz w:val="20"/>
          <w:lang w:eastAsia="ar-SA"/>
        </w:rPr>
      </w:pPr>
    </w:p>
    <w:p w:rsidR="003636A9" w:rsidRPr="00CC3CB4" w:rsidRDefault="003636A9" w:rsidP="003636A9">
      <w:pPr>
        <w:jc w:val="both"/>
        <w:rPr>
          <w:rFonts w:ascii="Arial" w:hAnsi="Arial"/>
          <w:sz w:val="26"/>
          <w:szCs w:val="26"/>
          <w:lang w:eastAsia="ar-SA"/>
        </w:rPr>
      </w:pPr>
      <w:r>
        <w:rPr>
          <w:rFonts w:ascii="Arial" w:hAnsi="Arial"/>
          <w:b/>
          <w:sz w:val="22"/>
          <w:szCs w:val="22"/>
          <w:lang w:eastAsia="ar-SA"/>
        </w:rPr>
        <w:t>2.</w:t>
      </w:r>
      <w:r>
        <w:rPr>
          <w:rFonts w:ascii="Arial" w:hAnsi="Arial"/>
          <w:b/>
          <w:sz w:val="26"/>
          <w:szCs w:val="26"/>
          <w:lang w:eastAsia="ar-SA"/>
        </w:rPr>
        <w:t xml:space="preserve"> Przetarg odbędzie się w dniu </w:t>
      </w:r>
      <w:r>
        <w:rPr>
          <w:rFonts w:ascii="Arial" w:hAnsi="Arial"/>
          <w:b/>
          <w:sz w:val="28"/>
          <w:szCs w:val="28"/>
          <w:lang w:eastAsia="ar-SA"/>
        </w:rPr>
        <w:t xml:space="preserve"> </w:t>
      </w:r>
      <w:r w:rsidR="00CC3CB4">
        <w:rPr>
          <w:rFonts w:ascii="Arial" w:hAnsi="Arial"/>
          <w:b/>
          <w:sz w:val="28"/>
          <w:szCs w:val="28"/>
          <w:u w:val="single"/>
          <w:lang w:eastAsia="ar-SA"/>
        </w:rPr>
        <w:t>17</w:t>
      </w:r>
      <w:r>
        <w:rPr>
          <w:rFonts w:ascii="Arial" w:hAnsi="Arial"/>
          <w:b/>
          <w:sz w:val="28"/>
          <w:szCs w:val="28"/>
          <w:u w:val="single"/>
          <w:lang w:eastAsia="ar-SA"/>
        </w:rPr>
        <w:t xml:space="preserve"> </w:t>
      </w:r>
      <w:r w:rsidR="00DD1DB7">
        <w:rPr>
          <w:rFonts w:ascii="Arial" w:hAnsi="Arial"/>
          <w:b/>
          <w:sz w:val="28"/>
          <w:szCs w:val="28"/>
          <w:u w:val="single"/>
          <w:lang w:eastAsia="ar-SA"/>
        </w:rPr>
        <w:t>września</w:t>
      </w:r>
      <w:r>
        <w:rPr>
          <w:rFonts w:ascii="Arial" w:hAnsi="Arial"/>
          <w:b/>
          <w:sz w:val="28"/>
          <w:szCs w:val="28"/>
          <w:u w:val="single"/>
          <w:lang w:eastAsia="ar-SA"/>
        </w:rPr>
        <w:t xml:space="preserve"> 2018</w:t>
      </w:r>
      <w:r>
        <w:rPr>
          <w:rFonts w:ascii="Arial" w:hAnsi="Arial"/>
          <w:b/>
          <w:sz w:val="30"/>
          <w:szCs w:val="30"/>
          <w:u w:val="single"/>
          <w:lang w:eastAsia="ar-SA"/>
        </w:rPr>
        <w:t xml:space="preserve"> roku </w:t>
      </w:r>
      <w:r>
        <w:rPr>
          <w:rFonts w:ascii="Arial" w:hAnsi="Arial"/>
          <w:b/>
          <w:sz w:val="26"/>
          <w:szCs w:val="26"/>
          <w:lang w:eastAsia="ar-SA"/>
        </w:rPr>
        <w:t>w  sali Nr 12 w Urzędzie Gminy w Wilczętach, w kolejności:</w:t>
      </w:r>
    </w:p>
    <w:p w:rsidR="003636A9" w:rsidRDefault="003636A9" w:rsidP="003636A9">
      <w:pPr>
        <w:jc w:val="both"/>
        <w:rPr>
          <w:rFonts w:ascii="Arial" w:hAnsi="Arial"/>
          <w:b/>
          <w:sz w:val="26"/>
          <w:szCs w:val="26"/>
          <w:lang w:eastAsia="ar-SA"/>
        </w:rPr>
      </w:pPr>
      <w:r>
        <w:rPr>
          <w:rFonts w:ascii="Arial" w:hAnsi="Arial"/>
          <w:b/>
          <w:sz w:val="26"/>
          <w:szCs w:val="26"/>
          <w:lang w:eastAsia="ar-SA"/>
        </w:rPr>
        <w:t>- działka Nr 96/1 – Dębiny – godz. 12.15,</w:t>
      </w:r>
    </w:p>
    <w:p w:rsidR="003636A9" w:rsidRDefault="003636A9" w:rsidP="003636A9">
      <w:pPr>
        <w:jc w:val="both"/>
        <w:rPr>
          <w:rFonts w:ascii="Arial" w:hAnsi="Arial"/>
          <w:b/>
          <w:sz w:val="26"/>
          <w:szCs w:val="26"/>
          <w:lang w:eastAsia="ar-SA"/>
        </w:rPr>
      </w:pPr>
      <w:r>
        <w:rPr>
          <w:rFonts w:ascii="Arial" w:hAnsi="Arial"/>
          <w:b/>
          <w:sz w:val="26"/>
          <w:szCs w:val="26"/>
          <w:lang w:eastAsia="ar-SA"/>
        </w:rPr>
        <w:t>- działka Nr 257/3 – Stare Siedlisko – godz. 12.30.</w:t>
      </w:r>
    </w:p>
    <w:p w:rsidR="003636A9" w:rsidRDefault="003636A9" w:rsidP="003636A9">
      <w:pPr>
        <w:pStyle w:val="Tytu"/>
        <w:tabs>
          <w:tab w:val="left" w:pos="10440"/>
        </w:tabs>
        <w:jc w:val="both"/>
        <w:rPr>
          <w:rFonts w:ascii="Arial" w:hAnsi="Arial"/>
          <w:sz w:val="21"/>
          <w:szCs w:val="21"/>
          <w:lang w:val="pl-PL" w:eastAsia="ar-SA"/>
        </w:rPr>
      </w:pPr>
      <w:r>
        <w:rPr>
          <w:rFonts w:ascii="Arial" w:hAnsi="Arial"/>
          <w:b w:val="0"/>
          <w:bCs w:val="0"/>
          <w:lang w:val="pl-PL" w:eastAsia="ar-SA"/>
        </w:rPr>
        <w:t xml:space="preserve"> </w:t>
      </w:r>
      <w:r>
        <w:rPr>
          <w:rFonts w:ascii="Arial" w:hAnsi="Arial"/>
          <w:sz w:val="21"/>
          <w:szCs w:val="21"/>
          <w:lang w:val="pl-PL" w:eastAsia="ar-SA"/>
        </w:rPr>
        <w:t xml:space="preserve"> </w:t>
      </w:r>
    </w:p>
    <w:p w:rsidR="003636A9" w:rsidRDefault="003636A9" w:rsidP="003636A9">
      <w:pPr>
        <w:jc w:val="both"/>
        <w:rPr>
          <w:rFonts w:ascii="Arial" w:hAnsi="Arial"/>
          <w:b/>
          <w:bCs/>
          <w:sz w:val="21"/>
          <w:szCs w:val="21"/>
          <w:lang w:eastAsia="ar-SA"/>
        </w:rPr>
      </w:pPr>
      <w:r>
        <w:rPr>
          <w:rFonts w:ascii="Arial" w:hAnsi="Arial"/>
          <w:b/>
          <w:bCs/>
          <w:sz w:val="20"/>
          <w:lang w:eastAsia="ar-SA"/>
        </w:rPr>
        <w:t xml:space="preserve">3. </w:t>
      </w:r>
      <w:r>
        <w:rPr>
          <w:rFonts w:ascii="Arial" w:hAnsi="Arial"/>
          <w:sz w:val="21"/>
          <w:szCs w:val="21"/>
          <w:lang w:eastAsia="ar-SA"/>
        </w:rPr>
        <w:t>Termin do złożenia wniosku przez osoby, którym przysługuje pierwszeństwo w nabyciu nieruchomości na podstawie art. 34 ust. 1 pkt 1 i 2 ustawy z dnia 21 sierpnia 1997 roku o gospodarce nieru</w:t>
      </w:r>
      <w:r w:rsidR="00461855">
        <w:rPr>
          <w:rFonts w:ascii="Arial" w:hAnsi="Arial"/>
          <w:sz w:val="21"/>
          <w:szCs w:val="21"/>
          <w:lang w:eastAsia="ar-SA"/>
        </w:rPr>
        <w:t>chomościami  (</w:t>
      </w:r>
      <w:proofErr w:type="spellStart"/>
      <w:r w:rsidR="00461855">
        <w:rPr>
          <w:rFonts w:ascii="Arial" w:hAnsi="Arial"/>
          <w:sz w:val="21"/>
          <w:szCs w:val="21"/>
          <w:lang w:eastAsia="ar-SA"/>
        </w:rPr>
        <w:t>t.j</w:t>
      </w:r>
      <w:proofErr w:type="spellEnd"/>
      <w:r w:rsidR="00461855">
        <w:rPr>
          <w:rFonts w:ascii="Arial" w:hAnsi="Arial"/>
          <w:sz w:val="21"/>
          <w:szCs w:val="21"/>
          <w:lang w:eastAsia="ar-SA"/>
        </w:rPr>
        <w:t xml:space="preserve">.- Dz.U. z 2018 r., poz. 121 z </w:t>
      </w:r>
      <w:proofErr w:type="spellStart"/>
      <w:r w:rsidR="00461855">
        <w:rPr>
          <w:rFonts w:ascii="Arial" w:hAnsi="Arial"/>
          <w:sz w:val="21"/>
          <w:szCs w:val="21"/>
          <w:lang w:eastAsia="ar-SA"/>
        </w:rPr>
        <w:t>późn</w:t>
      </w:r>
      <w:proofErr w:type="spellEnd"/>
      <w:r w:rsidR="00461855">
        <w:rPr>
          <w:rFonts w:ascii="Arial" w:hAnsi="Arial"/>
          <w:sz w:val="21"/>
          <w:szCs w:val="21"/>
          <w:lang w:eastAsia="ar-SA"/>
        </w:rPr>
        <w:t>. zm.)  upłynął w dniu</w:t>
      </w:r>
      <w:r>
        <w:rPr>
          <w:rFonts w:ascii="Arial" w:hAnsi="Arial"/>
          <w:b/>
          <w:sz w:val="21"/>
          <w:szCs w:val="21"/>
          <w:lang w:eastAsia="ar-SA"/>
        </w:rPr>
        <w:t xml:space="preserve"> </w:t>
      </w:r>
      <w:r w:rsidR="00461855">
        <w:rPr>
          <w:rFonts w:ascii="Arial" w:hAnsi="Arial"/>
          <w:b/>
          <w:sz w:val="21"/>
          <w:szCs w:val="21"/>
          <w:lang w:eastAsia="ar-SA"/>
        </w:rPr>
        <w:t>04 lipca</w:t>
      </w:r>
      <w:r w:rsidR="00461855">
        <w:rPr>
          <w:rFonts w:ascii="Arial" w:hAnsi="Arial"/>
          <w:b/>
          <w:bCs/>
          <w:sz w:val="21"/>
          <w:szCs w:val="21"/>
          <w:lang w:eastAsia="ar-SA"/>
        </w:rPr>
        <w:t xml:space="preserve"> 2018</w:t>
      </w:r>
      <w:r>
        <w:rPr>
          <w:rFonts w:ascii="Arial" w:hAnsi="Arial"/>
          <w:b/>
          <w:bCs/>
          <w:sz w:val="21"/>
          <w:szCs w:val="21"/>
          <w:lang w:eastAsia="ar-SA"/>
        </w:rPr>
        <w:t xml:space="preserve"> roku.</w:t>
      </w:r>
    </w:p>
    <w:p w:rsidR="003636A9" w:rsidRDefault="003636A9" w:rsidP="003636A9">
      <w:pPr>
        <w:jc w:val="both"/>
        <w:rPr>
          <w:rFonts w:ascii="Arial" w:hAnsi="Arial"/>
          <w:sz w:val="21"/>
          <w:szCs w:val="21"/>
          <w:lang w:eastAsia="ar-SA"/>
        </w:rPr>
      </w:pPr>
      <w:r>
        <w:rPr>
          <w:rFonts w:ascii="Arial" w:hAnsi="Arial"/>
          <w:b/>
          <w:bCs/>
          <w:sz w:val="20"/>
          <w:lang w:eastAsia="ar-SA"/>
        </w:rPr>
        <w:t xml:space="preserve">4. </w:t>
      </w:r>
      <w:r>
        <w:rPr>
          <w:rFonts w:ascii="Arial" w:hAnsi="Arial"/>
          <w:sz w:val="21"/>
          <w:szCs w:val="21"/>
          <w:lang w:eastAsia="ar-SA"/>
        </w:rPr>
        <w:t>W przetargu mogą brać udział osoby fizyczne i prawne, które:</w:t>
      </w:r>
    </w:p>
    <w:p w:rsidR="003636A9" w:rsidRDefault="003636A9" w:rsidP="003636A9">
      <w:pPr>
        <w:numPr>
          <w:ilvl w:val="0"/>
          <w:numId w:val="1"/>
        </w:numPr>
        <w:tabs>
          <w:tab w:val="left" w:pos="13320"/>
        </w:tabs>
        <w:jc w:val="both"/>
        <w:rPr>
          <w:rFonts w:ascii="Arial" w:hAnsi="Arial"/>
          <w:sz w:val="21"/>
          <w:szCs w:val="21"/>
          <w:lang w:eastAsia="ar-SA"/>
        </w:rPr>
      </w:pPr>
      <w:r>
        <w:rPr>
          <w:rFonts w:ascii="Arial" w:hAnsi="Arial"/>
          <w:b/>
          <w:bCs/>
          <w:sz w:val="22"/>
          <w:szCs w:val="22"/>
          <w:lang w:eastAsia="ar-SA"/>
        </w:rPr>
        <w:t>wpłacą wadium</w:t>
      </w:r>
      <w:r>
        <w:rPr>
          <w:rFonts w:ascii="Arial" w:hAnsi="Arial"/>
          <w:b/>
          <w:bCs/>
          <w:sz w:val="21"/>
          <w:szCs w:val="21"/>
          <w:lang w:eastAsia="ar-SA"/>
        </w:rPr>
        <w:t xml:space="preserve"> </w:t>
      </w:r>
      <w:r>
        <w:rPr>
          <w:rFonts w:ascii="Arial" w:hAnsi="Arial"/>
          <w:sz w:val="21"/>
          <w:szCs w:val="21"/>
          <w:lang w:eastAsia="ar-SA"/>
        </w:rPr>
        <w:t xml:space="preserve">w wymaganej wysokości  nie później niż </w:t>
      </w:r>
      <w:r w:rsidR="00CC3CB4">
        <w:rPr>
          <w:rFonts w:ascii="Arial" w:hAnsi="Arial"/>
          <w:b/>
          <w:bCs/>
          <w:sz w:val="22"/>
          <w:szCs w:val="22"/>
          <w:lang w:eastAsia="ar-SA"/>
        </w:rPr>
        <w:t>do dnia 12</w:t>
      </w:r>
      <w:r w:rsidR="00461855">
        <w:rPr>
          <w:rFonts w:ascii="Arial" w:hAnsi="Arial"/>
          <w:b/>
          <w:bCs/>
          <w:sz w:val="22"/>
          <w:szCs w:val="22"/>
          <w:lang w:eastAsia="ar-SA"/>
        </w:rPr>
        <w:t xml:space="preserve"> września 2018</w:t>
      </w:r>
      <w:r>
        <w:rPr>
          <w:rFonts w:ascii="Arial" w:hAnsi="Arial"/>
          <w:b/>
          <w:bCs/>
          <w:sz w:val="22"/>
          <w:szCs w:val="22"/>
          <w:lang w:eastAsia="ar-SA"/>
        </w:rPr>
        <w:t xml:space="preserve"> roku.</w:t>
      </w:r>
      <w:r>
        <w:rPr>
          <w:rFonts w:ascii="Arial" w:hAnsi="Arial"/>
          <w:b/>
          <w:bCs/>
          <w:sz w:val="21"/>
          <w:szCs w:val="21"/>
          <w:lang w:eastAsia="ar-SA"/>
        </w:rPr>
        <w:t xml:space="preserve"> </w:t>
      </w:r>
      <w:r>
        <w:rPr>
          <w:rFonts w:ascii="Arial" w:hAnsi="Arial"/>
          <w:sz w:val="21"/>
          <w:szCs w:val="21"/>
          <w:lang w:eastAsia="ar-SA"/>
        </w:rPr>
        <w:t xml:space="preserve"> Wadium należy wpłacić w kasie Urzędu Gminy w Wilczętach lub przelewem na konto  Gminy: BS Malbork Oddział Młynary Nr </w:t>
      </w:r>
      <w:r>
        <w:rPr>
          <w:rFonts w:ascii="Arial" w:hAnsi="Arial"/>
          <w:b/>
          <w:bCs/>
          <w:sz w:val="21"/>
          <w:szCs w:val="21"/>
          <w:lang w:eastAsia="ar-SA"/>
        </w:rPr>
        <w:t>21</w:t>
      </w:r>
      <w:r>
        <w:rPr>
          <w:rFonts w:ascii="Arial" w:hAnsi="Arial"/>
          <w:b/>
          <w:sz w:val="21"/>
          <w:szCs w:val="21"/>
          <w:lang w:eastAsia="ar-SA"/>
        </w:rPr>
        <w:t xml:space="preserve"> 8303 1029 0030 0300 0404 0002 </w:t>
      </w:r>
      <w:r>
        <w:rPr>
          <w:rFonts w:ascii="Arial" w:hAnsi="Arial"/>
          <w:sz w:val="21"/>
          <w:szCs w:val="21"/>
          <w:lang w:eastAsia="ar-SA"/>
        </w:rPr>
        <w:t xml:space="preserve">z dopiskiem: </w:t>
      </w:r>
      <w:r>
        <w:rPr>
          <w:rFonts w:ascii="Arial" w:hAnsi="Arial"/>
          <w:b/>
          <w:bCs/>
          <w:sz w:val="21"/>
          <w:szCs w:val="21"/>
          <w:lang w:eastAsia="ar-SA"/>
        </w:rPr>
        <w:t>Wadium działka nr  … obręb …...</w:t>
      </w:r>
      <w:r>
        <w:rPr>
          <w:rFonts w:ascii="Arial" w:hAnsi="Arial"/>
          <w:sz w:val="21"/>
          <w:szCs w:val="21"/>
          <w:lang w:eastAsia="ar-SA"/>
        </w:rPr>
        <w:t xml:space="preserve"> Liczy się data wpływu wadium na konto. Każdy uczestnik przetargu winien posiadać </w:t>
      </w:r>
      <w:r>
        <w:rPr>
          <w:rFonts w:ascii="Arial" w:hAnsi="Arial"/>
          <w:b/>
          <w:bCs/>
          <w:sz w:val="21"/>
          <w:szCs w:val="21"/>
          <w:lang w:eastAsia="ar-SA"/>
        </w:rPr>
        <w:t xml:space="preserve">dowód wpłaty </w:t>
      </w:r>
      <w:r>
        <w:rPr>
          <w:rFonts w:ascii="Arial" w:hAnsi="Arial"/>
          <w:sz w:val="21"/>
          <w:szCs w:val="21"/>
          <w:lang w:eastAsia="ar-SA"/>
        </w:rPr>
        <w:t>w celu okazania komisji przetargowej. W przypadku małżeństwa wadium winno być uiszczone przez oboje małżonków,</w:t>
      </w:r>
    </w:p>
    <w:p w:rsidR="003636A9" w:rsidRDefault="003636A9" w:rsidP="003636A9">
      <w:pPr>
        <w:numPr>
          <w:ilvl w:val="0"/>
          <w:numId w:val="1"/>
        </w:numPr>
        <w:tabs>
          <w:tab w:val="left" w:pos="13320"/>
        </w:tabs>
        <w:jc w:val="both"/>
        <w:rPr>
          <w:rFonts w:ascii="Arial" w:hAnsi="Arial"/>
          <w:sz w:val="21"/>
          <w:szCs w:val="21"/>
          <w:lang w:eastAsia="ar-SA"/>
        </w:rPr>
      </w:pPr>
      <w:r>
        <w:rPr>
          <w:rFonts w:ascii="Arial" w:hAnsi="Arial"/>
          <w:sz w:val="21"/>
          <w:szCs w:val="21"/>
          <w:lang w:eastAsia="ar-SA"/>
        </w:rPr>
        <w:t xml:space="preserve">w przypadku uczestnictwa w przetargu </w:t>
      </w:r>
      <w:r>
        <w:rPr>
          <w:rFonts w:ascii="Arial" w:hAnsi="Arial"/>
          <w:b/>
          <w:bCs/>
          <w:sz w:val="21"/>
          <w:szCs w:val="21"/>
          <w:lang w:eastAsia="ar-SA"/>
        </w:rPr>
        <w:t>osoby fizycznej</w:t>
      </w:r>
      <w:r>
        <w:rPr>
          <w:rFonts w:ascii="Arial" w:hAnsi="Arial"/>
          <w:sz w:val="21"/>
          <w:szCs w:val="21"/>
          <w:lang w:eastAsia="ar-SA"/>
        </w:rPr>
        <w:t xml:space="preserve"> należy okazać </w:t>
      </w:r>
      <w:r>
        <w:rPr>
          <w:rFonts w:ascii="Arial" w:hAnsi="Arial"/>
          <w:b/>
          <w:bCs/>
          <w:sz w:val="21"/>
          <w:szCs w:val="21"/>
          <w:lang w:eastAsia="ar-SA"/>
        </w:rPr>
        <w:t xml:space="preserve">dowód tożsamości </w:t>
      </w:r>
      <w:r>
        <w:rPr>
          <w:rFonts w:ascii="Arial" w:hAnsi="Arial"/>
          <w:sz w:val="21"/>
          <w:szCs w:val="21"/>
          <w:lang w:eastAsia="ar-SA"/>
        </w:rPr>
        <w:t>lub w przypadku pełnomocnika notarialnie potwierdzone pełnomocnictwo upoważniające do działania na każdym etapie postępowania przetargowego,</w:t>
      </w:r>
    </w:p>
    <w:p w:rsidR="003636A9" w:rsidRDefault="003636A9" w:rsidP="003636A9">
      <w:pPr>
        <w:jc w:val="both"/>
        <w:rPr>
          <w:rFonts w:ascii="Arial" w:hAnsi="Arial"/>
          <w:sz w:val="21"/>
          <w:szCs w:val="21"/>
          <w:lang w:eastAsia="ar-SA"/>
        </w:rPr>
      </w:pPr>
      <w:r>
        <w:rPr>
          <w:rFonts w:ascii="Arial" w:hAnsi="Arial"/>
          <w:sz w:val="21"/>
          <w:szCs w:val="21"/>
          <w:lang w:eastAsia="ar-SA"/>
        </w:rPr>
        <w:t xml:space="preserve">-  w przypadku uczestnictwa w przetargu </w:t>
      </w:r>
      <w:r>
        <w:rPr>
          <w:rFonts w:ascii="Arial" w:hAnsi="Arial"/>
          <w:b/>
          <w:bCs/>
          <w:sz w:val="21"/>
          <w:szCs w:val="21"/>
          <w:lang w:eastAsia="ar-SA"/>
        </w:rPr>
        <w:t xml:space="preserve">osoby prawnej </w:t>
      </w:r>
      <w:r>
        <w:rPr>
          <w:rFonts w:ascii="Arial" w:hAnsi="Arial"/>
          <w:sz w:val="21"/>
          <w:szCs w:val="21"/>
          <w:lang w:eastAsia="ar-SA"/>
        </w:rPr>
        <w:t xml:space="preserve">należy okazać aktualny </w:t>
      </w:r>
      <w:r>
        <w:rPr>
          <w:rFonts w:ascii="Arial" w:hAnsi="Arial"/>
          <w:b/>
          <w:bCs/>
          <w:sz w:val="21"/>
          <w:szCs w:val="21"/>
          <w:lang w:eastAsia="ar-SA"/>
        </w:rPr>
        <w:t xml:space="preserve">wypis z właściwego rejestru lub zaświadczenie o wpisie do ewidencji gospodarczej </w:t>
      </w:r>
      <w:r>
        <w:rPr>
          <w:rFonts w:ascii="Arial" w:hAnsi="Arial"/>
          <w:sz w:val="21"/>
          <w:szCs w:val="21"/>
          <w:lang w:eastAsia="ar-SA"/>
        </w:rPr>
        <w:t xml:space="preserve">- potwierdzone przez organ dokonujący rejestracji  nie później niż  w okresie 3 miesięcy przed datą przetargu oraz </w:t>
      </w:r>
      <w:r>
        <w:rPr>
          <w:rFonts w:ascii="Arial" w:hAnsi="Arial"/>
          <w:b/>
          <w:bCs/>
          <w:sz w:val="21"/>
          <w:szCs w:val="21"/>
          <w:lang w:eastAsia="ar-SA"/>
        </w:rPr>
        <w:t>dowód tożsamości</w:t>
      </w:r>
      <w:r>
        <w:rPr>
          <w:rFonts w:ascii="Arial" w:hAnsi="Arial"/>
          <w:sz w:val="21"/>
          <w:szCs w:val="21"/>
          <w:lang w:eastAsia="ar-SA"/>
        </w:rPr>
        <w:t xml:space="preserve"> osoby reprezentującej podmiot lub w przypadku pełnomocnika  notarialnie potwierdzone pełnomocnictwo upoważniające do działania na każdym etapie postępowania przetargowego.  </w:t>
      </w:r>
    </w:p>
    <w:p w:rsidR="003636A9" w:rsidRDefault="003636A9" w:rsidP="003636A9">
      <w:pPr>
        <w:jc w:val="both"/>
        <w:rPr>
          <w:rFonts w:ascii="Arial" w:hAnsi="Arial"/>
          <w:sz w:val="21"/>
          <w:szCs w:val="21"/>
          <w:lang w:eastAsia="ar-SA"/>
        </w:rPr>
      </w:pPr>
      <w:r>
        <w:rPr>
          <w:rFonts w:ascii="Arial" w:hAnsi="Arial"/>
          <w:sz w:val="21"/>
          <w:szCs w:val="21"/>
          <w:lang w:eastAsia="ar-SA"/>
        </w:rPr>
        <w:t xml:space="preserve">- </w:t>
      </w:r>
      <w:r>
        <w:rPr>
          <w:rFonts w:ascii="Arial" w:hAnsi="Arial"/>
          <w:sz w:val="21"/>
          <w:szCs w:val="21"/>
        </w:rPr>
        <w:t xml:space="preserve">w przypadku zamiaru nabycia nieruchomości w ramach </w:t>
      </w:r>
      <w:r>
        <w:rPr>
          <w:rFonts w:ascii="Arial" w:hAnsi="Arial"/>
          <w:b/>
          <w:bCs/>
          <w:sz w:val="21"/>
          <w:szCs w:val="21"/>
        </w:rPr>
        <w:t>wspólności ustawowej małżeńskiej</w:t>
      </w:r>
      <w:r>
        <w:rPr>
          <w:rFonts w:ascii="Arial" w:hAnsi="Arial"/>
          <w:sz w:val="21"/>
          <w:szCs w:val="21"/>
        </w:rPr>
        <w:t xml:space="preserve">, do przetargu winni przystąpić </w:t>
      </w:r>
      <w:r>
        <w:rPr>
          <w:rFonts w:ascii="Arial" w:hAnsi="Arial"/>
          <w:b/>
          <w:bCs/>
          <w:sz w:val="21"/>
          <w:szCs w:val="21"/>
        </w:rPr>
        <w:t>oboje małżonkowie</w:t>
      </w:r>
      <w:r>
        <w:rPr>
          <w:rFonts w:ascii="Arial" w:hAnsi="Arial"/>
          <w:sz w:val="21"/>
          <w:szCs w:val="21"/>
        </w:rPr>
        <w:t xml:space="preserve"> chyba, że zostanie przedłożona przez uczestnika przetargu zgoda na nabycie nieruchomości wyrażona przez drugiego współmałżonka przed notariuszem bądź urzędnikiem Referatu Gospodarki Nieruchomościami Urzędu Gminy w Wilczętach. </w:t>
      </w:r>
      <w:r>
        <w:rPr>
          <w:rFonts w:ascii="Arial" w:hAnsi="Arial"/>
          <w:sz w:val="21"/>
          <w:szCs w:val="21"/>
          <w:lang w:eastAsia="ar-SA"/>
        </w:rPr>
        <w:t xml:space="preserve">    </w:t>
      </w:r>
    </w:p>
    <w:p w:rsidR="003636A9" w:rsidRDefault="003636A9" w:rsidP="003636A9">
      <w:pPr>
        <w:jc w:val="both"/>
        <w:rPr>
          <w:rFonts w:ascii="Arial" w:hAnsi="Arial"/>
          <w:sz w:val="21"/>
          <w:szCs w:val="21"/>
          <w:lang w:eastAsia="ar-SA"/>
        </w:rPr>
      </w:pPr>
      <w:r>
        <w:rPr>
          <w:rFonts w:ascii="Arial" w:hAnsi="Arial"/>
          <w:b/>
          <w:bCs/>
          <w:sz w:val="21"/>
          <w:szCs w:val="21"/>
          <w:lang w:eastAsia="ar-SA"/>
        </w:rPr>
        <w:lastRenderedPageBreak/>
        <w:t xml:space="preserve">5. </w:t>
      </w:r>
      <w:r>
        <w:rPr>
          <w:rFonts w:ascii="Arial" w:hAnsi="Arial"/>
          <w:sz w:val="21"/>
          <w:szCs w:val="21"/>
          <w:lang w:eastAsia="ar-SA"/>
        </w:rPr>
        <w:t xml:space="preserve">Wpłacone wadium przez uczestnika przetargu, który przetarg wygrał zalicza się na poczet ceny nabycia nieruchomości. Pozostałym uczestnikom przetargu wadium zwraca się niezwłocznie po odwołaniu lub zamknięciu przetargu, jednak nie później niż przed upływem 3 dni od dnia odwołania, zamknięcia, unieważnienia lub zakończenia przetargu wynikiem negatywnym. </w:t>
      </w:r>
    </w:p>
    <w:p w:rsidR="003636A9" w:rsidRDefault="003636A9" w:rsidP="003636A9">
      <w:pPr>
        <w:jc w:val="both"/>
        <w:rPr>
          <w:rFonts w:ascii="Arial" w:hAnsi="Arial"/>
          <w:sz w:val="21"/>
          <w:szCs w:val="21"/>
          <w:lang w:eastAsia="ar-SA"/>
        </w:rPr>
      </w:pPr>
      <w:r>
        <w:rPr>
          <w:rFonts w:ascii="Arial" w:hAnsi="Arial"/>
          <w:b/>
          <w:bCs/>
          <w:sz w:val="21"/>
          <w:szCs w:val="21"/>
          <w:lang w:eastAsia="ar-SA"/>
        </w:rPr>
        <w:t xml:space="preserve">6. </w:t>
      </w:r>
      <w:r>
        <w:rPr>
          <w:rFonts w:ascii="Arial" w:hAnsi="Arial"/>
          <w:sz w:val="21"/>
          <w:szCs w:val="21"/>
          <w:lang w:eastAsia="ar-SA"/>
        </w:rPr>
        <w:t xml:space="preserve">Uczestnicy przetargu zgłaszają ustnie kolejne postąpienia ceny, dopóki mimo trzykrotnego wywołania nie ma dalszych postąpień. Przetarg jest ważny bez względu na liczbę uczestników przetargu, jeżeli przynajmniej jeden uczestnik zaoferował co najmniej jedno postąpienie powyżej ceny wywoławczej. </w:t>
      </w:r>
      <w:r>
        <w:rPr>
          <w:rFonts w:ascii="Arial" w:hAnsi="Arial"/>
          <w:b/>
          <w:bCs/>
          <w:sz w:val="22"/>
          <w:szCs w:val="22"/>
          <w:lang w:eastAsia="ar-SA"/>
        </w:rPr>
        <w:t>Postąpienie</w:t>
      </w:r>
      <w:r>
        <w:rPr>
          <w:rFonts w:ascii="Arial" w:hAnsi="Arial"/>
          <w:sz w:val="21"/>
          <w:szCs w:val="21"/>
          <w:lang w:eastAsia="ar-SA"/>
        </w:rPr>
        <w:t xml:space="preserve"> nie może wynosić mniej niż </w:t>
      </w:r>
      <w:r>
        <w:rPr>
          <w:rFonts w:ascii="Arial" w:hAnsi="Arial"/>
          <w:b/>
          <w:bCs/>
          <w:sz w:val="21"/>
          <w:szCs w:val="21"/>
          <w:lang w:eastAsia="ar-SA"/>
        </w:rPr>
        <w:t xml:space="preserve">1 % </w:t>
      </w:r>
      <w:r>
        <w:rPr>
          <w:rFonts w:ascii="Arial" w:hAnsi="Arial"/>
          <w:sz w:val="21"/>
          <w:szCs w:val="21"/>
          <w:lang w:eastAsia="ar-SA"/>
        </w:rPr>
        <w:t>ceny wywoławczej z zaokrągleniem w górę do pełnych dziesiątek złotych. Jedynym czynnikiem decydującym o wyborze oferenta jest najkorzystniejsza cena, jaką zaoferuje w przetargu. Wylicytowana cena nie podlega negocjacjom.</w:t>
      </w:r>
    </w:p>
    <w:p w:rsidR="003636A9" w:rsidRDefault="003636A9" w:rsidP="003636A9">
      <w:pPr>
        <w:jc w:val="both"/>
        <w:rPr>
          <w:rFonts w:ascii="Arial" w:hAnsi="Arial"/>
          <w:sz w:val="21"/>
          <w:szCs w:val="21"/>
          <w:lang w:eastAsia="ar-SA"/>
        </w:rPr>
      </w:pPr>
      <w:r>
        <w:rPr>
          <w:rFonts w:ascii="Arial" w:hAnsi="Arial"/>
          <w:b/>
          <w:bCs/>
          <w:sz w:val="21"/>
          <w:szCs w:val="21"/>
          <w:lang w:eastAsia="ar-SA"/>
        </w:rPr>
        <w:t>7</w:t>
      </w:r>
      <w:r>
        <w:rPr>
          <w:rFonts w:ascii="Arial" w:hAnsi="Arial"/>
          <w:sz w:val="21"/>
          <w:szCs w:val="21"/>
          <w:lang w:eastAsia="ar-SA"/>
        </w:rPr>
        <w:t>. Przetarg uważa się za zakończony wynikiem negatywnym, jeżeli nikt nie przystąpił do przetargu lub żaden z uczestników nie zaoferował postąpienia ponad cenę wywoławczą.</w:t>
      </w:r>
    </w:p>
    <w:p w:rsidR="003636A9" w:rsidRDefault="003636A9" w:rsidP="003636A9">
      <w:pPr>
        <w:jc w:val="both"/>
        <w:rPr>
          <w:rFonts w:ascii="Arial" w:hAnsi="Arial"/>
          <w:sz w:val="21"/>
          <w:szCs w:val="21"/>
          <w:lang w:eastAsia="ar-SA"/>
        </w:rPr>
      </w:pPr>
      <w:r>
        <w:rPr>
          <w:rFonts w:ascii="Arial" w:hAnsi="Arial"/>
          <w:b/>
          <w:bCs/>
          <w:sz w:val="21"/>
          <w:szCs w:val="21"/>
          <w:lang w:eastAsia="ar-SA"/>
        </w:rPr>
        <w:t>8</w:t>
      </w:r>
      <w:r>
        <w:rPr>
          <w:rFonts w:ascii="Arial" w:hAnsi="Arial"/>
          <w:sz w:val="21"/>
          <w:szCs w:val="21"/>
          <w:lang w:eastAsia="ar-SA"/>
        </w:rPr>
        <w:t xml:space="preserve">. Protokół z przeprowadzonego przetargu stanowi podstawę zawarcia umowy notarialnej. </w:t>
      </w:r>
    </w:p>
    <w:p w:rsidR="003636A9" w:rsidRDefault="003636A9" w:rsidP="003636A9">
      <w:pPr>
        <w:jc w:val="both"/>
        <w:rPr>
          <w:rFonts w:ascii="Arial" w:hAnsi="Arial"/>
          <w:sz w:val="21"/>
          <w:szCs w:val="21"/>
          <w:lang w:eastAsia="ar-SA"/>
        </w:rPr>
      </w:pPr>
      <w:r>
        <w:rPr>
          <w:rFonts w:ascii="Arial" w:hAnsi="Arial"/>
          <w:b/>
          <w:bCs/>
          <w:sz w:val="21"/>
          <w:szCs w:val="21"/>
          <w:lang w:eastAsia="ar-SA"/>
        </w:rPr>
        <w:t>9</w:t>
      </w:r>
      <w:r>
        <w:rPr>
          <w:rFonts w:ascii="Arial" w:hAnsi="Arial"/>
          <w:sz w:val="21"/>
          <w:szCs w:val="21"/>
          <w:lang w:eastAsia="ar-SA"/>
        </w:rPr>
        <w:t xml:space="preserve">. Cena nieruchomości sprzedawanej w drodze przetargu podlega zapłacie nie później, niż do dnia zawarcia umowy przenoszącej własność. Nabywca nieruchomości ponosi  również opłaty notarialne i sądowe.  </w:t>
      </w:r>
    </w:p>
    <w:p w:rsidR="003636A9" w:rsidRDefault="003636A9" w:rsidP="003636A9">
      <w:pPr>
        <w:jc w:val="both"/>
        <w:rPr>
          <w:rFonts w:ascii="Arial" w:hAnsi="Arial"/>
          <w:sz w:val="21"/>
          <w:szCs w:val="21"/>
          <w:lang w:eastAsia="ar-SA"/>
        </w:rPr>
      </w:pPr>
      <w:r>
        <w:rPr>
          <w:rFonts w:ascii="Arial" w:hAnsi="Arial"/>
          <w:b/>
          <w:bCs/>
          <w:sz w:val="21"/>
          <w:szCs w:val="21"/>
          <w:lang w:eastAsia="ar-SA"/>
        </w:rPr>
        <w:t xml:space="preserve">10. </w:t>
      </w:r>
      <w:r>
        <w:rPr>
          <w:rFonts w:ascii="Arial" w:hAnsi="Arial"/>
          <w:sz w:val="21"/>
          <w:szCs w:val="21"/>
          <w:lang w:eastAsia="ar-SA"/>
        </w:rPr>
        <w:t>O miejscu i terminie zawarcia umowy kupna-sprzedaży Wójt Gminy Wilczęta zawiadomi osobę ustaloną, jako nabywca nieruchomości nie później niż w ciągu 21 dni od dnia rozstrzygnięcia przetargu.</w:t>
      </w:r>
    </w:p>
    <w:p w:rsidR="003636A9" w:rsidRDefault="003636A9" w:rsidP="003636A9">
      <w:pPr>
        <w:jc w:val="both"/>
        <w:rPr>
          <w:rFonts w:ascii="Arial" w:hAnsi="Arial"/>
          <w:sz w:val="21"/>
          <w:szCs w:val="21"/>
          <w:lang w:eastAsia="ar-SA"/>
        </w:rPr>
      </w:pPr>
      <w:r>
        <w:rPr>
          <w:rFonts w:ascii="Arial" w:hAnsi="Arial"/>
          <w:b/>
          <w:bCs/>
          <w:sz w:val="21"/>
          <w:szCs w:val="21"/>
          <w:lang w:eastAsia="ar-SA"/>
        </w:rPr>
        <w:t xml:space="preserve">11. </w:t>
      </w:r>
      <w:r>
        <w:rPr>
          <w:rFonts w:ascii="Arial" w:hAnsi="Arial"/>
          <w:sz w:val="21"/>
          <w:szCs w:val="21"/>
          <w:lang w:eastAsia="ar-SA"/>
        </w:rPr>
        <w:t>Jeśli osoba ustalona jako nabywca nieruchomości nie stawi się bez usprawiedliwienia w miejscu i w terminie podanym w zawiadomieniu  Wójt Gminy może odstąpić od zawarcia umowy, a wpłacone wadium nie podlega zwrotowi.</w:t>
      </w:r>
    </w:p>
    <w:p w:rsidR="003636A9" w:rsidRDefault="003636A9" w:rsidP="003636A9">
      <w:pPr>
        <w:jc w:val="both"/>
        <w:rPr>
          <w:rFonts w:ascii="Arial" w:hAnsi="Arial"/>
          <w:sz w:val="21"/>
          <w:szCs w:val="21"/>
          <w:lang w:eastAsia="ar-SA"/>
        </w:rPr>
      </w:pPr>
      <w:r>
        <w:rPr>
          <w:rFonts w:ascii="Arial" w:hAnsi="Arial"/>
          <w:b/>
          <w:bCs/>
          <w:sz w:val="21"/>
          <w:szCs w:val="21"/>
          <w:lang w:eastAsia="ar-SA"/>
        </w:rPr>
        <w:t xml:space="preserve">12. </w:t>
      </w:r>
      <w:r>
        <w:rPr>
          <w:rFonts w:ascii="Arial" w:hAnsi="Arial"/>
          <w:sz w:val="21"/>
          <w:szCs w:val="21"/>
          <w:lang w:eastAsia="ar-SA"/>
        </w:rPr>
        <w:t>Uczestnik przetargu może w terminie 7 dni od ogłoszenia wyniku przetargu zaskarżyć czynności związane z jego przeprowadzeniem do Wójta Gminy Wilczęta.</w:t>
      </w:r>
    </w:p>
    <w:p w:rsidR="003636A9" w:rsidRDefault="003636A9" w:rsidP="003636A9">
      <w:pPr>
        <w:jc w:val="both"/>
        <w:rPr>
          <w:rFonts w:ascii="Arial" w:hAnsi="Arial"/>
          <w:sz w:val="21"/>
          <w:szCs w:val="21"/>
          <w:lang w:eastAsia="ar-SA"/>
        </w:rPr>
      </w:pPr>
      <w:r>
        <w:rPr>
          <w:rFonts w:ascii="Arial" w:hAnsi="Arial"/>
          <w:b/>
          <w:bCs/>
          <w:sz w:val="21"/>
          <w:szCs w:val="21"/>
          <w:lang w:eastAsia="ar-SA"/>
        </w:rPr>
        <w:t xml:space="preserve">13. </w:t>
      </w:r>
      <w:r>
        <w:rPr>
          <w:rFonts w:ascii="Arial" w:hAnsi="Arial"/>
          <w:sz w:val="21"/>
          <w:szCs w:val="21"/>
          <w:lang w:eastAsia="ar-SA"/>
        </w:rPr>
        <w:t>Dodatkowe informacje można uzyskać w  Urzędzie Gminy w Wilczętach, Wilczęta 84, pokój Nr 17, tel. 55-249-65-04 w.35 w godz. od 7.00 do 15.00.</w:t>
      </w:r>
    </w:p>
    <w:p w:rsidR="003636A9" w:rsidRDefault="003636A9" w:rsidP="003636A9">
      <w:pPr>
        <w:jc w:val="both"/>
        <w:rPr>
          <w:rFonts w:ascii="Arial" w:hAnsi="Arial"/>
          <w:sz w:val="21"/>
          <w:szCs w:val="21"/>
          <w:lang w:eastAsia="ar-SA"/>
        </w:rPr>
      </w:pPr>
      <w:r>
        <w:rPr>
          <w:rFonts w:ascii="Arial" w:hAnsi="Arial"/>
          <w:b/>
          <w:bCs/>
          <w:sz w:val="21"/>
          <w:szCs w:val="21"/>
          <w:lang w:eastAsia="ar-SA"/>
        </w:rPr>
        <w:t xml:space="preserve">14. </w:t>
      </w:r>
      <w:r>
        <w:rPr>
          <w:rFonts w:ascii="Arial" w:hAnsi="Arial"/>
          <w:sz w:val="21"/>
          <w:szCs w:val="21"/>
          <w:lang w:eastAsia="ar-SA"/>
        </w:rPr>
        <w:t>Wójt Gminy Wilczęta może odwołać ogłoszony przetarg jedynie z uzasadnionej przyczyny, informując niezwłocznie o tym zainteresowanych w formie właściwej dla ogłoszenia przetargu.</w:t>
      </w:r>
    </w:p>
    <w:p w:rsidR="003636A9" w:rsidRDefault="003636A9" w:rsidP="003636A9">
      <w:pPr>
        <w:rPr>
          <w:rFonts w:ascii="Arial" w:hAnsi="Arial"/>
          <w:b/>
          <w:bCs/>
          <w:sz w:val="21"/>
          <w:szCs w:val="21"/>
          <w:lang w:eastAsia="ar-SA"/>
        </w:rPr>
      </w:pPr>
    </w:p>
    <w:p w:rsidR="003636A9" w:rsidRDefault="003636A9" w:rsidP="003636A9">
      <w:pPr>
        <w:rPr>
          <w:rFonts w:ascii="Arial" w:hAnsi="Arial"/>
          <w:b/>
          <w:bCs/>
          <w:sz w:val="21"/>
          <w:szCs w:val="21"/>
          <w:lang w:eastAsia="ar-SA"/>
        </w:rPr>
      </w:pPr>
    </w:p>
    <w:p w:rsidR="008A5FB6" w:rsidRDefault="008A5FB6"/>
    <w:sectPr w:rsidR="008A5FB6" w:rsidSect="003636A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716CBDA"/>
    <w:name w:val="WW8Num1"/>
    <w:lvl w:ilvl="0">
      <w:start w:val="1"/>
      <w:numFmt w:val="bullet"/>
      <w:lvlText w:val=""/>
      <w:lvlJc w:val="left"/>
      <w:pPr>
        <w:tabs>
          <w:tab w:val="num" w:pos="360"/>
        </w:tabs>
        <w:ind w:left="360" w:hanging="360"/>
      </w:pPr>
      <w:rPr>
        <w:rFonts w:ascii="Symbol" w:hAnsi="Symbol" w:cs="StarSymbol"/>
        <w:b/>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A9"/>
    <w:rsid w:val="003636A9"/>
    <w:rsid w:val="00461855"/>
    <w:rsid w:val="004824B7"/>
    <w:rsid w:val="008A5FB6"/>
    <w:rsid w:val="009E7072"/>
    <w:rsid w:val="00A80A33"/>
    <w:rsid w:val="00CC3CB4"/>
    <w:rsid w:val="00DD1DB7"/>
    <w:rsid w:val="00E47F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7E2BE-7C4B-444A-8C77-B1E14BFD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6A9"/>
    <w:pPr>
      <w:widowControl w:val="0"/>
      <w:suppressAutoHyphens/>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3636A9"/>
    <w:pPr>
      <w:jc w:val="center"/>
    </w:pPr>
    <w:rPr>
      <w:rFonts w:eastAsia="Lucida Sans Unicode" w:cs="Tahoma"/>
      <w:b/>
      <w:bCs/>
      <w:color w:val="000000"/>
      <w:sz w:val="32"/>
      <w:szCs w:val="24"/>
      <w:lang w:val="en-US" w:eastAsia="en-US" w:bidi="en-US"/>
    </w:rPr>
  </w:style>
  <w:style w:type="character" w:customStyle="1" w:styleId="TytuZnak">
    <w:name w:val="Tytuł Znak"/>
    <w:basedOn w:val="Domylnaczcionkaakapitu"/>
    <w:link w:val="Tytu"/>
    <w:rsid w:val="003636A9"/>
    <w:rPr>
      <w:rFonts w:ascii="Times New Roman" w:eastAsia="Lucida Sans Unicode" w:hAnsi="Times New Roman" w:cs="Tahoma"/>
      <w:b/>
      <w:bCs/>
      <w:color w:val="000000"/>
      <w:sz w:val="32"/>
      <w:szCs w:val="24"/>
      <w:lang w:val="en-US" w:bidi="en-US"/>
    </w:rPr>
  </w:style>
  <w:style w:type="paragraph" w:styleId="Podtytu">
    <w:name w:val="Subtitle"/>
    <w:basedOn w:val="Normalny"/>
    <w:next w:val="Normalny"/>
    <w:link w:val="PodtytuZnak"/>
    <w:uiPriority w:val="11"/>
    <w:qFormat/>
    <w:rsid w:val="003636A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3636A9"/>
    <w:rPr>
      <w:rFonts w:eastAsiaTheme="minorEastAsia"/>
      <w:color w:val="5A5A5A" w:themeColor="text1" w:themeTint="A5"/>
      <w:spacing w:val="15"/>
      <w:lang w:eastAsia="pl-PL"/>
    </w:rPr>
  </w:style>
  <w:style w:type="paragraph" w:customStyle="1" w:styleId="Standard">
    <w:name w:val="Standard"/>
    <w:rsid w:val="003636A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Tekstdymka">
    <w:name w:val="Balloon Text"/>
    <w:basedOn w:val="Normalny"/>
    <w:link w:val="TekstdymkaZnak"/>
    <w:uiPriority w:val="99"/>
    <w:semiHidden/>
    <w:unhideWhenUsed/>
    <w:rsid w:val="00A80A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0A3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1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1071</Words>
  <Characters>6426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5</cp:revision>
  <cp:lastPrinted>2018-08-13T12:46:00Z</cp:lastPrinted>
  <dcterms:created xsi:type="dcterms:W3CDTF">2018-08-13T07:10:00Z</dcterms:created>
  <dcterms:modified xsi:type="dcterms:W3CDTF">2018-08-13T12:46:00Z</dcterms:modified>
</cp:coreProperties>
</file>